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color w:val="auto"/>
          <w:sz w:val="32"/>
          <w:szCs w:val="32"/>
          <w:lang w:val="en-US" w:eastAsia="zh-CN"/>
        </w:rPr>
      </w:pPr>
      <w:r>
        <w:rPr>
          <w:rFonts w:hint="eastAsia"/>
          <w:b/>
          <w:bCs w:val="0"/>
          <w:color w:val="auto"/>
          <w:sz w:val="32"/>
          <w:szCs w:val="32"/>
          <w:lang w:val="en-US" w:eastAsia="zh-CN"/>
        </w:rPr>
        <w:t>神木市农业农村局随机抽查事项清单</w:t>
      </w:r>
    </w:p>
    <w:tbl>
      <w:tblPr>
        <w:tblStyle w:val="4"/>
        <w:tblpPr w:leftFromText="180" w:rightFromText="180" w:vertAnchor="page" w:horzAnchor="page" w:tblpX="1562" w:tblpY="2620"/>
        <w:tblOverlap w:val="never"/>
        <w:tblW w:w="20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81"/>
        <w:gridCol w:w="1235"/>
        <w:gridCol w:w="2787"/>
        <w:gridCol w:w="1261"/>
        <w:gridCol w:w="1301"/>
        <w:gridCol w:w="2164"/>
        <w:gridCol w:w="1195"/>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序号</w:t>
            </w:r>
          </w:p>
        </w:tc>
        <w:tc>
          <w:tcPr>
            <w:tcW w:w="1181"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抽查事项</w:t>
            </w:r>
          </w:p>
        </w:tc>
        <w:tc>
          <w:tcPr>
            <w:tcW w:w="1235"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检查对象</w:t>
            </w:r>
          </w:p>
        </w:tc>
        <w:tc>
          <w:tcPr>
            <w:tcW w:w="2787"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抽查内容</w:t>
            </w:r>
          </w:p>
        </w:tc>
        <w:tc>
          <w:tcPr>
            <w:tcW w:w="1261"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事项类别</w:t>
            </w:r>
          </w:p>
        </w:tc>
        <w:tc>
          <w:tcPr>
            <w:tcW w:w="1301"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检查方式</w:t>
            </w:r>
          </w:p>
        </w:tc>
        <w:tc>
          <w:tcPr>
            <w:tcW w:w="2164"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抽查比例及频次</w:t>
            </w:r>
          </w:p>
        </w:tc>
        <w:tc>
          <w:tcPr>
            <w:tcW w:w="1195"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检查部门</w:t>
            </w:r>
          </w:p>
        </w:tc>
        <w:tc>
          <w:tcPr>
            <w:tcW w:w="8893"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1</w:t>
            </w:r>
          </w:p>
        </w:tc>
        <w:tc>
          <w:tcPr>
            <w:tcW w:w="118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农药监督抽查</w:t>
            </w:r>
          </w:p>
        </w:tc>
        <w:tc>
          <w:tcPr>
            <w:tcW w:w="123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农药经营者</w:t>
            </w:r>
          </w:p>
        </w:tc>
        <w:tc>
          <w:tcPr>
            <w:tcW w:w="2787"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农药产品质量、农药标签、农药经营购销台账</w:t>
            </w:r>
          </w:p>
        </w:tc>
        <w:tc>
          <w:tcPr>
            <w:tcW w:w="126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全年抽查比例不低于5%，抽查频次根据监管需要确定</w:t>
            </w:r>
          </w:p>
        </w:tc>
        <w:tc>
          <w:tcPr>
            <w:tcW w:w="1195" w:type="dxa"/>
            <w:vAlign w:val="center"/>
          </w:tcPr>
          <w:p>
            <w:pPr>
              <w:pStyle w:val="6"/>
              <w:keepNext w:val="0"/>
              <w:keepLines w:val="0"/>
              <w:widowControl/>
              <w:suppressLineNumbers w:val="0"/>
              <w:ind w:left="0" w:leftChars="0" w:right="0" w:rightChars="0"/>
              <w:jc w:val="left"/>
              <w:rPr>
                <w:rFonts w:hint="default" w:eastAsia="宋体"/>
                <w:sz w:val="24"/>
                <w:szCs w:val="24"/>
                <w:vertAlign w:val="baseline"/>
                <w:lang w:val="en-US" w:eastAsia="zh-CN"/>
              </w:rPr>
            </w:pPr>
            <w:r>
              <w:rPr>
                <w:rFonts w:hint="eastAsia" w:cs="宋体"/>
                <w:kern w:val="0"/>
                <w:sz w:val="24"/>
                <w:szCs w:val="24"/>
                <w:lang w:val="en-US" w:eastAsia="zh-CN"/>
              </w:rPr>
              <w:t>神木市农业农村局</w:t>
            </w:r>
          </w:p>
        </w:tc>
        <w:tc>
          <w:tcPr>
            <w:tcW w:w="8893"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1.《农产品质量安全法》第二十一条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s="宋体"/>
                <w:kern w:val="0"/>
                <w:sz w:val="24"/>
                <w:szCs w:val="24"/>
                <w:lang w:val="en-US" w:eastAsia="zh-CN"/>
              </w:rPr>
              <w:t xml:space="preserve">                                      </w:t>
            </w:r>
            <w:r>
              <w:rPr>
                <w:rFonts w:hint="eastAsia" w:ascii="宋体" w:hAnsi="宋体" w:eastAsia="宋体" w:cs="宋体"/>
                <w:kern w:val="0"/>
                <w:sz w:val="24"/>
                <w:szCs w:val="24"/>
              </w:rPr>
              <w:t>2.《农药管理条例》第三条 县级以上地方人民政府农业主管部门负责本行政区域的农药监督管理工作。</w:t>
            </w:r>
            <w:r>
              <w:rPr>
                <w:rFonts w:hint="eastAsia" w:cs="宋体"/>
                <w:kern w:val="0"/>
                <w:sz w:val="24"/>
                <w:szCs w:val="24"/>
                <w:lang w:val="en-US" w:eastAsia="zh-CN"/>
              </w:rPr>
              <w:t xml:space="preserve">                                                      </w:t>
            </w:r>
            <w:r>
              <w:rPr>
                <w:rFonts w:hint="eastAsia" w:ascii="宋体" w:hAnsi="宋体" w:eastAsia="宋体" w:cs="宋体"/>
                <w:kern w:val="0"/>
                <w:sz w:val="24"/>
                <w:szCs w:val="24"/>
              </w:rPr>
              <w:t>3.《农药经营许可管理办法》第二十三条 县级以上地方农业部门应当对农药经营情况进行监督检查，定期调查统计农药销售情况，建立农药经营诚信档案并予以公布。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sz w:val="24"/>
                <w:szCs w:val="24"/>
                <w:vertAlign w:val="baseline"/>
              </w:rPr>
            </w:pPr>
            <w:r>
              <w:rPr>
                <w:rFonts w:hint="eastAsia" w:ascii="宋体" w:hAnsi="宋体" w:eastAsia="宋体" w:cs="宋体"/>
                <w:kern w:val="0"/>
                <w:sz w:val="24"/>
                <w:szCs w:val="24"/>
              </w:rPr>
              <w:t>2</w:t>
            </w:r>
          </w:p>
        </w:tc>
        <w:tc>
          <w:tcPr>
            <w:tcW w:w="118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肥料产品质量检查</w:t>
            </w:r>
          </w:p>
        </w:tc>
        <w:tc>
          <w:tcPr>
            <w:tcW w:w="123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肥料生产企业、经销单位、使用者</w:t>
            </w:r>
          </w:p>
        </w:tc>
        <w:tc>
          <w:tcPr>
            <w:tcW w:w="2787"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肥料产品质量、包装标签、登记证号；企业生产条件</w:t>
            </w:r>
          </w:p>
        </w:tc>
        <w:tc>
          <w:tcPr>
            <w:tcW w:w="126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全年抽查比例不低于5%，抽查频次根据工作方案要求每年1-3次</w:t>
            </w:r>
          </w:p>
        </w:tc>
        <w:tc>
          <w:tcPr>
            <w:tcW w:w="119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cs="宋体"/>
                <w:kern w:val="0"/>
                <w:sz w:val="24"/>
                <w:szCs w:val="24"/>
                <w:lang w:val="en-US" w:eastAsia="zh-CN"/>
              </w:rPr>
              <w:t>神木市农业农村局</w:t>
            </w:r>
          </w:p>
        </w:tc>
        <w:tc>
          <w:tcPr>
            <w:tcW w:w="8893"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118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农产品质量安全监督抽查</w:t>
            </w:r>
          </w:p>
        </w:tc>
        <w:tc>
          <w:tcPr>
            <w:tcW w:w="123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种养殖基地、农产品生产企业、农民专业合作经济组织</w:t>
            </w:r>
          </w:p>
        </w:tc>
        <w:tc>
          <w:tcPr>
            <w:tcW w:w="2787"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农产品质量安全状况</w:t>
            </w:r>
          </w:p>
        </w:tc>
        <w:tc>
          <w:tcPr>
            <w:tcW w:w="126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全年抽查比例和抽查频次根据监管需要确定</w:t>
            </w:r>
          </w:p>
        </w:tc>
        <w:tc>
          <w:tcPr>
            <w:tcW w:w="119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cs="宋体"/>
                <w:kern w:val="0"/>
                <w:sz w:val="24"/>
                <w:szCs w:val="24"/>
                <w:lang w:val="en-US" w:eastAsia="zh-CN"/>
              </w:rPr>
              <w:t>神木市农业农村局</w:t>
            </w:r>
          </w:p>
        </w:tc>
        <w:tc>
          <w:tcPr>
            <w:tcW w:w="8893"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r>
              <w:rPr>
                <w:rFonts w:hint="eastAsia"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81" w:type="dxa"/>
            <w:vAlign w:val="center"/>
          </w:tcPr>
          <w:p>
            <w:pPr>
              <w:pStyle w:val="6"/>
              <w:keepNext w:val="0"/>
              <w:keepLines w:val="0"/>
              <w:widowControl/>
              <w:suppressLineNumbers w:val="0"/>
              <w:ind w:left="0" w:leftChars="0" w:right="0" w:rightChars="0"/>
              <w:jc w:val="left"/>
              <w:rPr>
                <w:rFonts w:hint="default"/>
                <w:sz w:val="24"/>
                <w:szCs w:val="24"/>
                <w:vertAlign w:val="baseline"/>
                <w:lang w:val="en-US"/>
              </w:rPr>
            </w:pPr>
            <w:r>
              <w:rPr>
                <w:rFonts w:hint="eastAsia" w:ascii="宋体" w:hAnsi="宋体" w:eastAsia="宋体" w:cs="宋体"/>
                <w:kern w:val="0"/>
                <w:sz w:val="24"/>
                <w:szCs w:val="24"/>
              </w:rPr>
              <w:t>兽药经营监督检查</w:t>
            </w:r>
          </w:p>
        </w:tc>
        <w:tc>
          <w:tcPr>
            <w:tcW w:w="1235" w:type="dxa"/>
            <w:vAlign w:val="center"/>
          </w:tcPr>
          <w:p>
            <w:pPr>
              <w:pStyle w:val="6"/>
              <w:keepNext w:val="0"/>
              <w:keepLines w:val="0"/>
              <w:widowControl/>
              <w:suppressLineNumbers w:val="0"/>
              <w:ind w:left="0" w:leftChars="0" w:right="0" w:rightChars="0"/>
              <w:jc w:val="left"/>
              <w:rPr>
                <w:rFonts w:hint="default"/>
                <w:sz w:val="24"/>
                <w:szCs w:val="24"/>
                <w:vertAlign w:val="baseline"/>
                <w:lang w:val="en-US"/>
              </w:rPr>
            </w:pPr>
            <w:r>
              <w:rPr>
                <w:rFonts w:hint="default"/>
                <w:sz w:val="24"/>
                <w:szCs w:val="24"/>
                <w:vertAlign w:val="baseline"/>
                <w:lang w:val="en-US"/>
              </w:rPr>
              <w:t>兽药生产经营企业，兽药使用单位</w:t>
            </w:r>
          </w:p>
        </w:tc>
        <w:tc>
          <w:tcPr>
            <w:tcW w:w="2787" w:type="dxa"/>
            <w:vAlign w:val="center"/>
          </w:tcPr>
          <w:p>
            <w:pPr>
              <w:pStyle w:val="6"/>
              <w:keepNext w:val="0"/>
              <w:keepLines w:val="0"/>
              <w:widowControl/>
              <w:suppressLineNumbers w:val="0"/>
              <w:ind w:left="0" w:leftChars="0" w:right="0" w:rightChars="0"/>
              <w:jc w:val="left"/>
              <w:rPr>
                <w:rFonts w:hint="default" w:eastAsia="宋体"/>
                <w:sz w:val="24"/>
                <w:szCs w:val="24"/>
                <w:vertAlign w:val="baseline"/>
                <w:lang w:val="en-US" w:eastAsia="zh-CN"/>
              </w:rPr>
            </w:pPr>
            <w:r>
              <w:rPr>
                <w:rFonts w:hint="default" w:eastAsia="宋体"/>
                <w:sz w:val="24"/>
                <w:szCs w:val="24"/>
                <w:vertAlign w:val="baseline"/>
                <w:lang w:val="en-US" w:eastAsia="zh-CN"/>
              </w:rPr>
              <w:t>兽药质量</w:t>
            </w:r>
          </w:p>
        </w:tc>
        <w:tc>
          <w:tcPr>
            <w:tcW w:w="1261" w:type="dxa"/>
            <w:vAlign w:val="center"/>
          </w:tcPr>
          <w:p>
            <w:pPr>
              <w:pStyle w:val="6"/>
              <w:keepNext w:val="0"/>
              <w:keepLines w:val="0"/>
              <w:widowControl/>
              <w:suppressLineNumbers w:val="0"/>
              <w:ind w:left="0" w:leftChars="0" w:right="0" w:rightChars="0"/>
              <w:jc w:val="left"/>
              <w:rPr>
                <w:rFonts w:hint="default"/>
                <w:sz w:val="24"/>
                <w:szCs w:val="24"/>
                <w:vertAlign w:val="baseline"/>
                <w:lang w:val="en-US"/>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rFonts w:hint="default"/>
                <w:sz w:val="24"/>
                <w:szCs w:val="24"/>
                <w:vertAlign w:val="baseline"/>
                <w:lang w:val="en-US"/>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rFonts w:hint="default"/>
                <w:sz w:val="24"/>
                <w:szCs w:val="24"/>
                <w:vertAlign w:val="baseline"/>
                <w:lang w:val="en-US"/>
              </w:rPr>
            </w:pPr>
            <w:r>
              <w:rPr>
                <w:rFonts w:hint="eastAsia" w:ascii="宋体" w:hAnsi="宋体" w:eastAsia="宋体" w:cs="宋体"/>
                <w:kern w:val="0"/>
                <w:sz w:val="24"/>
                <w:szCs w:val="24"/>
              </w:rPr>
              <w:t>每年抽查比例 不 低 于5%，3次/年</w:t>
            </w:r>
          </w:p>
        </w:tc>
        <w:tc>
          <w:tcPr>
            <w:tcW w:w="1195" w:type="dxa"/>
            <w:vAlign w:val="center"/>
          </w:tcPr>
          <w:p>
            <w:pPr>
              <w:keepNext w:val="0"/>
              <w:keepLines w:val="0"/>
              <w:widowControl/>
              <w:suppressLineNumbers w:val="0"/>
              <w:ind w:left="0" w:leftChars="0" w:right="0" w:rightChars="0"/>
              <w:jc w:val="left"/>
              <w:rPr>
                <w:rFonts w:hint="default"/>
                <w:sz w:val="24"/>
                <w:szCs w:val="24"/>
                <w:vertAlign w:val="baseline"/>
                <w:lang w:val="en-US"/>
              </w:rPr>
            </w:pPr>
            <w:r>
              <w:rPr>
                <w:rFonts w:hint="eastAsia" w:cs="宋体"/>
                <w:kern w:val="0"/>
                <w:sz w:val="24"/>
                <w:szCs w:val="24"/>
                <w:lang w:val="en-US" w:eastAsia="zh-CN"/>
              </w:rPr>
              <w:t>神木市农业农村局</w:t>
            </w:r>
          </w:p>
        </w:tc>
        <w:tc>
          <w:tcPr>
            <w:tcW w:w="8893" w:type="dxa"/>
            <w:vAlign w:val="center"/>
          </w:tcPr>
          <w:p>
            <w:pPr>
              <w:pStyle w:val="6"/>
              <w:keepNext w:val="0"/>
              <w:keepLines w:val="0"/>
              <w:widowControl/>
              <w:suppressLineNumbers w:val="0"/>
              <w:jc w:val="left"/>
              <w:rPr>
                <w:rFonts w:hint="default"/>
                <w:sz w:val="24"/>
                <w:szCs w:val="24"/>
                <w:vertAlign w:val="baseline"/>
                <w:lang w:val="en-US"/>
              </w:rPr>
            </w:pPr>
            <w:r>
              <w:rPr>
                <w:rFonts w:hint="default"/>
                <w:sz w:val="24"/>
                <w:szCs w:val="24"/>
                <w:vertAlign w:val="baseline"/>
                <w:lang w:val="en-US"/>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sz w:val="24"/>
                <w:szCs w:val="24"/>
                <w:vertAlign w:val="baseline"/>
                <w:lang w:val="en-US" w:eastAsia="zh-CN"/>
              </w:rPr>
              <w:t xml:space="preserve">                                                             </w:t>
            </w:r>
            <w:r>
              <w:rPr>
                <w:rFonts w:hint="default"/>
                <w:sz w:val="24"/>
                <w:szCs w:val="24"/>
                <w:vertAlign w:val="baseline"/>
                <w:lang w:val="en-US"/>
              </w:rPr>
              <w:t>《兽药管理条例》第三条第二款 县级以上地方人民政府兽医行政管理部门负责本行政区域内的兽药监督管理工作。</w:t>
            </w:r>
            <w:r>
              <w:rPr>
                <w:rFonts w:hint="eastAsia"/>
                <w:sz w:val="24"/>
                <w:szCs w:val="24"/>
                <w:vertAlign w:val="baseline"/>
                <w:lang w:val="en-US" w:eastAsia="zh-CN"/>
              </w:rPr>
              <w:t xml:space="preserve">                                            </w:t>
            </w:r>
            <w:r>
              <w:rPr>
                <w:rFonts w:hint="default"/>
                <w:sz w:val="24"/>
                <w:szCs w:val="24"/>
                <w:vertAlign w:val="baseline"/>
                <w:lang w:val="en-US"/>
              </w:rPr>
              <w:t>《兽药管理条例》第十四条第二款 省级以上人民政府兽医行政管理部门，应当对兽药生产企业是否符合兽药生产质量管理规范的要求进行监督检查，并公布检查结果。《兽药管理条例》第十九条第一款 兽药生产企业生产的每批兽用生物制品，在出厂前应当由国务院兽医行政管理部门指定的检验机构审查核对，并在必要时进行抽查检验；未经审查核对或者抽查检验不合格的，不得销售。</w:t>
            </w:r>
            <w:r>
              <w:rPr>
                <w:rFonts w:hint="eastAsia"/>
                <w:sz w:val="24"/>
                <w:szCs w:val="24"/>
                <w:vertAlign w:val="baseline"/>
                <w:lang w:val="en-US" w:eastAsia="zh-CN"/>
              </w:rPr>
              <w:t xml:space="preserve">                       </w:t>
            </w:r>
            <w:r>
              <w:rPr>
                <w:rFonts w:hint="default"/>
                <w:sz w:val="24"/>
                <w:szCs w:val="24"/>
                <w:vertAlign w:val="baseline"/>
                <w:lang w:val="en-US"/>
              </w:rPr>
              <w:t>《兽药管理条例》第三十五条第三款 兽用生物制品进口后，应当依照本条例第十九条的规定进行审查核对和抽查检验。其他兽药进口后，由当地兽医行政管理部门通知兽药检验机构进行抽查检验。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18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sz w:val="24"/>
                <w:szCs w:val="24"/>
                <w:vertAlign w:val="baseline"/>
              </w:rPr>
              <w:t>饲料、饲料添加剂监督抽查</w:t>
            </w:r>
          </w:p>
        </w:tc>
        <w:tc>
          <w:tcPr>
            <w:tcW w:w="1235" w:type="dxa"/>
            <w:vAlign w:val="center"/>
          </w:tcPr>
          <w:p>
            <w:pPr>
              <w:pStyle w:val="6"/>
              <w:keepNext w:val="0"/>
              <w:keepLines w:val="0"/>
              <w:widowControl/>
              <w:suppressLineNumbers w:val="0"/>
              <w:ind w:left="0" w:leftChars="0" w:right="0" w:rightChars="0"/>
              <w:jc w:val="left"/>
              <w:rPr>
                <w:rFonts w:hint="eastAsia"/>
                <w:sz w:val="24"/>
                <w:szCs w:val="24"/>
                <w:vertAlign w:val="baseline"/>
              </w:rPr>
            </w:pPr>
            <w:r>
              <w:rPr>
                <w:rFonts w:hint="eastAsia"/>
                <w:sz w:val="24"/>
                <w:szCs w:val="24"/>
                <w:vertAlign w:val="baseline"/>
              </w:rPr>
              <w:t>饲料和饲料添加剂生产企业和经营企业</w:t>
            </w:r>
          </w:p>
          <w:p>
            <w:pPr>
              <w:pStyle w:val="6"/>
              <w:keepNext w:val="0"/>
              <w:keepLines w:val="0"/>
              <w:widowControl/>
              <w:suppressLineNumbers w:val="0"/>
              <w:ind w:left="0" w:leftChars="0" w:right="0" w:rightChars="0"/>
              <w:jc w:val="left"/>
              <w:rPr>
                <w:sz w:val="24"/>
                <w:szCs w:val="24"/>
                <w:vertAlign w:val="baseline"/>
              </w:rPr>
            </w:pPr>
          </w:p>
        </w:tc>
        <w:tc>
          <w:tcPr>
            <w:tcW w:w="2787"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sz w:val="24"/>
                <w:szCs w:val="24"/>
                <w:vertAlign w:val="baseline"/>
              </w:rPr>
              <w:t>饲料、饲料添加剂产品质量安全主体责任履行情况</w:t>
            </w:r>
          </w:p>
        </w:tc>
        <w:tc>
          <w:tcPr>
            <w:tcW w:w="126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每年抽查比例 不 低 于5%，3次/年</w:t>
            </w:r>
          </w:p>
        </w:tc>
        <w:tc>
          <w:tcPr>
            <w:tcW w:w="119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cs="宋体"/>
                <w:kern w:val="0"/>
                <w:sz w:val="24"/>
                <w:szCs w:val="24"/>
                <w:lang w:val="en-US" w:eastAsia="zh-CN"/>
              </w:rPr>
              <w:t>神木市农业农村局</w:t>
            </w:r>
          </w:p>
        </w:tc>
        <w:tc>
          <w:tcPr>
            <w:tcW w:w="8893"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sz w:val="24"/>
                <w:szCs w:val="24"/>
                <w:vertAlign w:val="baseline"/>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sz w:val="24"/>
                <w:szCs w:val="24"/>
                <w:vertAlign w:val="baseline"/>
                <w:lang w:val="en-US" w:eastAsia="zh-CN"/>
              </w:rPr>
              <w:t xml:space="preserve">                                                              </w:t>
            </w:r>
            <w:r>
              <w:rPr>
                <w:rFonts w:hint="eastAsia"/>
                <w:sz w:val="24"/>
                <w:szCs w:val="24"/>
                <w:vertAlign w:val="baseline"/>
              </w:rPr>
              <w:t>《饲料和饲料添加剂管理条例》第三条第二款 县级以上地方人民政府负责饲料、饲料添加剂管理的部门负责本行政区域内饲料、饲料添加剂的监督管理工作。</w:t>
            </w:r>
            <w:r>
              <w:rPr>
                <w:rFonts w:hint="eastAsia"/>
                <w:sz w:val="24"/>
                <w:szCs w:val="24"/>
                <w:vertAlign w:val="baseline"/>
                <w:lang w:val="en-US" w:eastAsia="zh-CN"/>
              </w:rPr>
              <w:t xml:space="preserve">       </w:t>
            </w:r>
            <w:r>
              <w:rPr>
                <w:rFonts w:hint="eastAsia"/>
                <w:sz w:val="24"/>
                <w:szCs w:val="24"/>
                <w:vertAlign w:val="baseline"/>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hint="eastAsia"/>
                <w:sz w:val="24"/>
                <w:szCs w:val="24"/>
                <w:vertAlign w:val="baseline"/>
                <w:lang w:val="en-US" w:eastAsia="zh-CN"/>
              </w:rPr>
              <w:t xml:space="preserve">                                       </w:t>
            </w:r>
            <w:r>
              <w:rPr>
                <w:rFonts w:hint="eastAsia"/>
                <w:sz w:val="24"/>
                <w:szCs w:val="24"/>
                <w:vertAlign w:val="baseline"/>
              </w:rPr>
              <w:t>国务院农业行政主管部门和省、自治区、直辖市人民政府饲料管理部门应当按照职责权限公布监督抽查结果，并可以公布具有不良记录的饲料、饲料添加剂生产企业、经营者名单。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Align w:val="center"/>
          </w:tcPr>
          <w:p>
            <w:pPr>
              <w:pStyle w:val="6"/>
              <w:keepNext w:val="0"/>
              <w:keepLines w:val="0"/>
              <w:widowControl/>
              <w:suppressLineNumbers w:val="0"/>
              <w:ind w:left="0" w:leftChars="0" w:right="0" w:rightChars="0"/>
              <w:jc w:val="center"/>
              <w:rPr>
                <w:rFonts w:hint="eastAsia" w:eastAsia="宋体"/>
                <w:sz w:val="24"/>
                <w:szCs w:val="24"/>
                <w:vertAlign w:val="baseline"/>
                <w:lang w:eastAsia="zh-CN"/>
              </w:rPr>
            </w:pPr>
            <w:r>
              <w:rPr>
                <w:rFonts w:hint="eastAsia" w:cs="宋体"/>
                <w:kern w:val="0"/>
                <w:sz w:val="24"/>
                <w:szCs w:val="24"/>
                <w:lang w:val="en-US" w:eastAsia="zh-CN"/>
              </w:rPr>
              <w:t>6</w:t>
            </w:r>
          </w:p>
        </w:tc>
        <w:tc>
          <w:tcPr>
            <w:tcW w:w="118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屠宰环节质量安全监督检查</w:t>
            </w:r>
          </w:p>
        </w:tc>
        <w:tc>
          <w:tcPr>
            <w:tcW w:w="1235"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屠宰企业及其分支机构</w:t>
            </w:r>
          </w:p>
        </w:tc>
        <w:tc>
          <w:tcPr>
            <w:tcW w:w="2787"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屠宰企业是否有注水或注入其他物质，违法添加使用“瘦肉精”及其他违禁物质，违法屠宰、销售病死畜禽及产品等行为；按照农业部《生猪屠宰企业监督检查规范》内容和要求对生猪屠宰企业进行监督检查；是否符合动防疫条件；是否按规定处理病死动物等。</w:t>
            </w:r>
          </w:p>
        </w:tc>
        <w:tc>
          <w:tcPr>
            <w:tcW w:w="126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每年抽查比例 不 低 于5%，3次/年</w:t>
            </w:r>
          </w:p>
        </w:tc>
        <w:tc>
          <w:tcPr>
            <w:tcW w:w="1195" w:type="dxa"/>
            <w:vAlign w:val="center"/>
          </w:tcPr>
          <w:p>
            <w:pPr>
              <w:pStyle w:val="6"/>
              <w:keepNext w:val="0"/>
              <w:keepLines w:val="0"/>
              <w:widowControl/>
              <w:suppressLineNumbers w:val="0"/>
              <w:ind w:left="0" w:leftChars="0" w:right="0" w:rightChars="0"/>
              <w:jc w:val="left"/>
              <w:rPr>
                <w:rFonts w:hint="default" w:eastAsia="宋体"/>
                <w:sz w:val="24"/>
                <w:szCs w:val="24"/>
                <w:vertAlign w:val="baseline"/>
                <w:lang w:val="en-US" w:eastAsia="zh-CN"/>
              </w:rPr>
            </w:pPr>
            <w:r>
              <w:rPr>
                <w:rFonts w:hint="eastAsia" w:cs="宋体"/>
                <w:kern w:val="0"/>
                <w:sz w:val="24"/>
                <w:szCs w:val="24"/>
                <w:lang w:val="en-US" w:eastAsia="zh-CN"/>
              </w:rPr>
              <w:t>神木市农业农村局</w:t>
            </w:r>
          </w:p>
        </w:tc>
        <w:tc>
          <w:tcPr>
            <w:tcW w:w="8893" w:type="dxa"/>
            <w:vAlign w:val="center"/>
          </w:tcPr>
          <w:p>
            <w:pPr>
              <w:pStyle w:val="6"/>
              <w:keepNext w:val="0"/>
              <w:keepLines w:val="0"/>
              <w:widowControl/>
              <w:suppressLineNumbers w:val="0"/>
              <w:jc w:val="left"/>
              <w:rPr>
                <w:sz w:val="24"/>
                <w:szCs w:val="24"/>
                <w:vertAlign w:val="baseline"/>
              </w:rPr>
            </w:pPr>
            <w:r>
              <w:rPr>
                <w:rFonts w:hint="eastAsia" w:ascii="宋体" w:hAnsi="宋体" w:eastAsia="宋体" w:cs="宋体"/>
                <w:kern w:val="0"/>
                <w:sz w:val="24"/>
                <w:szCs w:val="24"/>
              </w:rPr>
              <w:t>《生猪屠宰管理条例》（1997年12月中华人民共和国国务院令第238号，2016年2月修订）第三条 国务院畜牧兽医行政主管部门负责全国生猪屠宰的行业管理工作。县级以上地方人民政府畜牧兽医行政主管部门负责本行政区域内生猪屠宰活动的监督管理</w:t>
            </w:r>
            <w:r>
              <w:rPr>
                <w:rFonts w:hint="eastAsia" w:cs="宋体"/>
                <w:kern w:val="0"/>
                <w:sz w:val="24"/>
                <w:szCs w:val="24"/>
                <w:lang w:eastAsia="zh-CN"/>
              </w:rPr>
              <w:t>。</w:t>
            </w:r>
            <w:r>
              <w:rPr>
                <w:rFonts w:hint="eastAsia" w:cs="宋体"/>
                <w:kern w:val="0"/>
                <w:sz w:val="24"/>
                <w:szCs w:val="24"/>
                <w:lang w:val="en-US" w:eastAsia="zh-CN"/>
              </w:rPr>
              <w:t xml:space="preserve">                                                               </w:t>
            </w:r>
            <w:r>
              <w:rPr>
                <w:rFonts w:hint="eastAsia" w:ascii="宋体" w:hAnsi="宋体" w:eastAsia="宋体" w:cs="宋体"/>
                <w:kern w:val="0"/>
                <w:sz w:val="24"/>
                <w:szCs w:val="24"/>
              </w:rPr>
              <w:t>《生猪屠宰企业监督检查规范》(2016年4月农业部农医发〔2016〕14号)1.1本规范规定了畜牧兽医主管部门对生猪屠宰企业进行监督检查的内容和要求。1.2畜牧兽医主管部门机构依照法律、法规和本单位职能，适用本规范对生猪屠宰企业进行监督检查。</w:t>
            </w:r>
            <w:r>
              <w:rPr>
                <w:rFonts w:hint="eastAsia" w:cs="宋体"/>
                <w:kern w:val="0"/>
                <w:sz w:val="24"/>
                <w:szCs w:val="24"/>
                <w:lang w:val="en-US" w:eastAsia="zh-CN"/>
              </w:rPr>
              <w:t xml:space="preserve">                                                             </w:t>
            </w:r>
            <w:r>
              <w:rPr>
                <w:rFonts w:hint="eastAsia" w:ascii="宋体" w:hAnsi="宋体" w:eastAsia="宋体" w:cs="宋体"/>
                <w:kern w:val="0"/>
                <w:sz w:val="24"/>
                <w:szCs w:val="24"/>
              </w:rPr>
              <w:t>《中华人民共和国动物防疫法》（1997年7月中华人民共和国主席令第七十一号，2015年4月修正）第八条：“县级以上地方人民政府设立的动物卫生监督机构依照本法规定，负责动物、动物产品的检疫工作和其他有关动物防疫的监督管理执法工作。”第五十九条：“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r>
              <w:rPr>
                <w:rFonts w:hint="eastAsia"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742"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7</w:t>
            </w:r>
          </w:p>
        </w:tc>
        <w:tc>
          <w:tcPr>
            <w:tcW w:w="1181" w:type="dxa"/>
            <w:vAlign w:val="center"/>
          </w:tcPr>
          <w:p>
            <w:pPr>
              <w:widowControl w:val="0"/>
              <w:jc w:val="left"/>
              <w:rPr>
                <w:sz w:val="24"/>
                <w:szCs w:val="24"/>
                <w:vertAlign w:val="baseline"/>
              </w:rPr>
            </w:pPr>
            <w:r>
              <w:rPr>
                <w:rFonts w:hint="eastAsia"/>
                <w:sz w:val="24"/>
                <w:szCs w:val="24"/>
                <w:vertAlign w:val="baseline"/>
              </w:rPr>
              <w:t>种子监督抽查</w:t>
            </w:r>
          </w:p>
        </w:tc>
        <w:tc>
          <w:tcPr>
            <w:tcW w:w="1235" w:type="dxa"/>
            <w:vAlign w:val="center"/>
          </w:tcPr>
          <w:p>
            <w:pPr>
              <w:widowControl w:val="0"/>
              <w:jc w:val="left"/>
              <w:rPr>
                <w:sz w:val="24"/>
                <w:szCs w:val="24"/>
                <w:vertAlign w:val="baseline"/>
              </w:rPr>
            </w:pPr>
            <w:r>
              <w:rPr>
                <w:rFonts w:hint="eastAsia"/>
                <w:sz w:val="24"/>
                <w:szCs w:val="24"/>
                <w:vertAlign w:val="baseline"/>
              </w:rPr>
              <w:t>种子生产经营者、委托生产企业、制种基地</w:t>
            </w:r>
          </w:p>
        </w:tc>
        <w:tc>
          <w:tcPr>
            <w:tcW w:w="2787" w:type="dxa"/>
            <w:vAlign w:val="center"/>
          </w:tcPr>
          <w:p>
            <w:pPr>
              <w:widowControl w:val="0"/>
              <w:jc w:val="left"/>
              <w:rPr>
                <w:rFonts w:hint="eastAsia" w:eastAsia="宋体"/>
                <w:sz w:val="24"/>
                <w:szCs w:val="24"/>
                <w:vertAlign w:val="baseline"/>
                <w:lang w:val="en-US" w:eastAsia="zh-CN"/>
              </w:rPr>
            </w:pPr>
            <w:r>
              <w:rPr>
                <w:rFonts w:hint="eastAsia"/>
                <w:sz w:val="24"/>
                <w:szCs w:val="24"/>
                <w:vertAlign w:val="baseline"/>
              </w:rPr>
              <w:t>种子质量、标签与包装规范情况、主要农作物品种审定情况、非主要农作物品种登记信息、品种真实性、种子生产经营资质、生产经营主体备案情况、种子企业生产经营案、种子生产基地书面委托生产合同、委托生产备案情况</w:t>
            </w:r>
            <w:r>
              <w:rPr>
                <w:rFonts w:hint="eastAsia"/>
                <w:sz w:val="24"/>
                <w:szCs w:val="24"/>
                <w:vertAlign w:val="baseline"/>
                <w:lang w:val="en-US" w:eastAsia="zh-CN"/>
              </w:rPr>
              <w:t>.</w:t>
            </w:r>
          </w:p>
        </w:tc>
        <w:tc>
          <w:tcPr>
            <w:tcW w:w="126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sz w:val="24"/>
                <w:szCs w:val="24"/>
                <w:vertAlign w:val="baseline"/>
              </w:rPr>
            </w:pPr>
            <w:r>
              <w:rPr>
                <w:rFonts w:hint="eastAsia" w:ascii="宋体" w:hAnsi="宋体" w:eastAsia="宋体" w:cs="宋体"/>
                <w:kern w:val="0"/>
                <w:sz w:val="24"/>
                <w:szCs w:val="24"/>
              </w:rPr>
              <w:t>每年抽查比例 不 低 于5%，3次/年</w:t>
            </w:r>
          </w:p>
        </w:tc>
        <w:tc>
          <w:tcPr>
            <w:tcW w:w="1195" w:type="dxa"/>
            <w:vAlign w:val="center"/>
          </w:tcPr>
          <w:p>
            <w:pPr>
              <w:pStyle w:val="6"/>
              <w:keepNext w:val="0"/>
              <w:keepLines w:val="0"/>
              <w:widowControl/>
              <w:suppressLineNumbers w:val="0"/>
              <w:ind w:left="0" w:leftChars="0" w:right="0" w:rightChars="0"/>
              <w:jc w:val="left"/>
              <w:rPr>
                <w:rFonts w:hint="default" w:eastAsia="宋体"/>
                <w:sz w:val="24"/>
                <w:szCs w:val="24"/>
                <w:vertAlign w:val="baseline"/>
                <w:lang w:val="en-US" w:eastAsia="zh-CN"/>
              </w:rPr>
            </w:pPr>
            <w:r>
              <w:rPr>
                <w:rFonts w:hint="eastAsia" w:cs="宋体"/>
                <w:kern w:val="0"/>
                <w:sz w:val="24"/>
                <w:szCs w:val="24"/>
                <w:lang w:val="en-US" w:eastAsia="zh-CN"/>
              </w:rPr>
              <w:t>神木市农业农村局</w:t>
            </w:r>
          </w:p>
        </w:tc>
        <w:tc>
          <w:tcPr>
            <w:tcW w:w="8893" w:type="dxa"/>
            <w:vAlign w:val="center"/>
          </w:tcPr>
          <w:p>
            <w:pPr>
              <w:widowControl w:val="0"/>
              <w:jc w:val="left"/>
              <w:rPr>
                <w:rFonts w:hint="eastAsia"/>
                <w:sz w:val="24"/>
                <w:szCs w:val="24"/>
                <w:vertAlign w:val="baseline"/>
              </w:rPr>
            </w:pPr>
            <w:r>
              <w:rPr>
                <w:rFonts w:hint="eastAsia"/>
                <w:sz w:val="24"/>
                <w:szCs w:val="24"/>
                <w:vertAlign w:val="baseline"/>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p>
            <w:pPr>
              <w:widowControl w:val="0"/>
              <w:jc w:val="left"/>
              <w:rPr>
                <w:rFonts w:hint="eastAsia"/>
                <w:sz w:val="24"/>
                <w:szCs w:val="24"/>
                <w:vertAlign w:val="baseline"/>
              </w:rPr>
            </w:pPr>
            <w:r>
              <w:rPr>
                <w:rFonts w:hint="eastAsia"/>
                <w:sz w:val="24"/>
                <w:szCs w:val="24"/>
                <w:vertAlign w:val="baseline"/>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val="0"/>
              <w:jc w:val="left"/>
              <w:rPr>
                <w:rFonts w:hint="eastAsia"/>
                <w:sz w:val="24"/>
                <w:szCs w:val="24"/>
                <w:vertAlign w:val="baseline"/>
              </w:rPr>
            </w:pPr>
            <w:r>
              <w:rPr>
                <w:rFonts w:hint="eastAsia"/>
                <w:sz w:val="24"/>
                <w:szCs w:val="24"/>
                <w:vertAlign w:val="baseline"/>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widowControl w:val="0"/>
              <w:jc w:val="left"/>
              <w:rPr>
                <w:rFonts w:hint="eastAsia"/>
                <w:sz w:val="24"/>
                <w:szCs w:val="24"/>
                <w:vertAlign w:val="baseline"/>
              </w:rPr>
            </w:pPr>
            <w:r>
              <w:rPr>
                <w:rFonts w:hint="eastAsia"/>
                <w:sz w:val="24"/>
                <w:szCs w:val="24"/>
                <w:vertAlign w:val="baseline"/>
              </w:rPr>
              <w:t>《农作物种子标签和说明书管理办法》；</w:t>
            </w:r>
          </w:p>
          <w:p>
            <w:pPr>
              <w:widowControl w:val="0"/>
              <w:jc w:val="left"/>
              <w:rPr>
                <w:rFonts w:hint="eastAsia"/>
                <w:sz w:val="24"/>
                <w:szCs w:val="24"/>
                <w:vertAlign w:val="baseline"/>
              </w:rPr>
            </w:pPr>
            <w:r>
              <w:rPr>
                <w:rFonts w:hint="eastAsia"/>
                <w:sz w:val="24"/>
                <w:szCs w:val="24"/>
                <w:vertAlign w:val="baseline"/>
              </w:rPr>
              <w:t>《农作物种子生产经营许可管理办法》；</w:t>
            </w:r>
          </w:p>
          <w:p>
            <w:pPr>
              <w:widowControl w:val="0"/>
              <w:jc w:val="left"/>
              <w:rPr>
                <w:sz w:val="24"/>
                <w:szCs w:val="24"/>
                <w:vertAlign w:val="baseline"/>
              </w:rPr>
            </w:pPr>
            <w:r>
              <w:rPr>
                <w:rFonts w:hint="eastAsia"/>
                <w:sz w:val="24"/>
                <w:szCs w:val="24"/>
                <w:vertAlign w:val="baseline"/>
              </w:rPr>
              <w:t>《农作物种子质量监督抽查管理办法》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742" w:type="dxa"/>
            <w:vAlign w:val="center"/>
          </w:tcPr>
          <w:p>
            <w:pPr>
              <w:widowControl w:val="0"/>
              <w:jc w:val="center"/>
              <w:rPr>
                <w:rFonts w:hint="default"/>
                <w:sz w:val="24"/>
                <w:szCs w:val="24"/>
                <w:vertAlign w:val="baseline"/>
                <w:lang w:val="en-US" w:eastAsia="zh-CN"/>
              </w:rPr>
            </w:pPr>
            <w:r>
              <w:rPr>
                <w:rFonts w:hint="eastAsia"/>
                <w:sz w:val="24"/>
                <w:szCs w:val="24"/>
                <w:vertAlign w:val="baseline"/>
                <w:lang w:val="en-US" w:eastAsia="zh-CN"/>
              </w:rPr>
              <w:t>8</w:t>
            </w:r>
          </w:p>
        </w:tc>
        <w:tc>
          <w:tcPr>
            <w:tcW w:w="1181" w:type="dxa"/>
            <w:vAlign w:val="center"/>
          </w:tcPr>
          <w:p>
            <w:pPr>
              <w:widowControl w:val="0"/>
              <w:jc w:val="left"/>
              <w:rPr>
                <w:rFonts w:hint="eastAsia"/>
                <w:sz w:val="24"/>
                <w:szCs w:val="24"/>
                <w:vertAlign w:val="baseline"/>
              </w:rPr>
            </w:pPr>
            <w:r>
              <w:rPr>
                <w:rFonts w:hint="eastAsia"/>
                <w:sz w:val="24"/>
                <w:szCs w:val="24"/>
                <w:vertAlign w:val="baseline"/>
              </w:rPr>
              <w:t>种畜禽（蚕种）质量监管</w:t>
            </w:r>
          </w:p>
        </w:tc>
        <w:tc>
          <w:tcPr>
            <w:tcW w:w="1235" w:type="dxa"/>
            <w:vAlign w:val="center"/>
          </w:tcPr>
          <w:p>
            <w:pPr>
              <w:widowControl w:val="0"/>
              <w:jc w:val="left"/>
              <w:rPr>
                <w:rFonts w:hint="eastAsia"/>
                <w:sz w:val="24"/>
                <w:szCs w:val="24"/>
                <w:vertAlign w:val="baseline"/>
              </w:rPr>
            </w:pPr>
            <w:r>
              <w:rPr>
                <w:rFonts w:hint="eastAsia"/>
                <w:sz w:val="24"/>
                <w:szCs w:val="24"/>
                <w:vertAlign w:val="baseline"/>
              </w:rPr>
              <w:t>种畜禽（蚕种）生产经营者</w:t>
            </w:r>
          </w:p>
        </w:tc>
        <w:tc>
          <w:tcPr>
            <w:tcW w:w="2787" w:type="dxa"/>
            <w:vAlign w:val="center"/>
          </w:tcPr>
          <w:p>
            <w:pPr>
              <w:widowControl w:val="0"/>
              <w:jc w:val="left"/>
              <w:rPr>
                <w:rFonts w:hint="eastAsia"/>
                <w:sz w:val="24"/>
                <w:szCs w:val="24"/>
                <w:vertAlign w:val="baseline"/>
              </w:rPr>
            </w:pPr>
            <w:r>
              <w:rPr>
                <w:rFonts w:hint="eastAsia"/>
                <w:sz w:val="24"/>
                <w:szCs w:val="24"/>
                <w:vertAlign w:val="baseline"/>
              </w:rPr>
              <w:t>种畜禽（蚕种）质量</w:t>
            </w:r>
          </w:p>
        </w:tc>
        <w:tc>
          <w:tcPr>
            <w:tcW w:w="1261" w:type="dxa"/>
            <w:vAlign w:val="center"/>
          </w:tcPr>
          <w:p>
            <w:pPr>
              <w:pStyle w:val="6"/>
              <w:keepNext w:val="0"/>
              <w:keepLines w:val="0"/>
              <w:widowControl/>
              <w:suppressLineNumbers w:val="0"/>
              <w:ind w:left="0"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每年抽查比例 不 低 于5%，3次/年</w:t>
            </w:r>
          </w:p>
        </w:tc>
        <w:tc>
          <w:tcPr>
            <w:tcW w:w="1195" w:type="dxa"/>
            <w:vAlign w:val="center"/>
          </w:tcPr>
          <w:p>
            <w:pPr>
              <w:pStyle w:val="6"/>
              <w:keepNext w:val="0"/>
              <w:keepLines w:val="0"/>
              <w:widowControl/>
              <w:suppressLineNumbers w:val="0"/>
              <w:ind w:left="0" w:leftChars="0" w:right="0" w:rightChars="0"/>
              <w:jc w:val="left"/>
              <w:rPr>
                <w:rFonts w:hint="eastAsia" w:cs="宋体"/>
                <w:kern w:val="0"/>
                <w:sz w:val="24"/>
                <w:szCs w:val="24"/>
                <w:lang w:val="en-US" w:eastAsia="zh-CN"/>
              </w:rPr>
            </w:pPr>
            <w:r>
              <w:rPr>
                <w:rFonts w:hint="eastAsia" w:cs="宋体"/>
                <w:kern w:val="0"/>
                <w:sz w:val="24"/>
                <w:szCs w:val="24"/>
                <w:lang w:val="en-US" w:eastAsia="zh-CN"/>
              </w:rPr>
              <w:t>神木市农业农村局</w:t>
            </w:r>
          </w:p>
        </w:tc>
        <w:tc>
          <w:tcPr>
            <w:tcW w:w="8893" w:type="dxa"/>
            <w:vAlign w:val="center"/>
          </w:tcPr>
          <w:p>
            <w:pPr>
              <w:widowControl w:val="0"/>
              <w:jc w:val="left"/>
              <w:rPr>
                <w:rFonts w:hint="eastAsia"/>
                <w:sz w:val="24"/>
                <w:szCs w:val="24"/>
                <w:vertAlign w:val="baseline"/>
              </w:rPr>
            </w:pPr>
            <w:r>
              <w:rPr>
                <w:rFonts w:hint="eastAsia"/>
                <w:sz w:val="24"/>
                <w:szCs w:val="24"/>
                <w:vertAlign w:val="baseline"/>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p>
          <w:p>
            <w:pPr>
              <w:widowControl w:val="0"/>
              <w:jc w:val="left"/>
              <w:rPr>
                <w:rFonts w:hint="eastAsia"/>
                <w:sz w:val="24"/>
                <w:szCs w:val="24"/>
                <w:vertAlign w:val="baseline"/>
              </w:rPr>
            </w:pPr>
            <w:r>
              <w:rPr>
                <w:rFonts w:hint="eastAsia"/>
                <w:sz w:val="24"/>
                <w:szCs w:val="24"/>
                <w:vertAlign w:val="baseline"/>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pPr>
              <w:widowControl w:val="0"/>
              <w:jc w:val="left"/>
              <w:rPr>
                <w:rFonts w:hint="eastAsia"/>
                <w:sz w:val="24"/>
                <w:szCs w:val="24"/>
                <w:vertAlign w:val="baseline"/>
              </w:rPr>
            </w:pPr>
            <w:r>
              <w:rPr>
                <w:rFonts w:hint="eastAsia"/>
                <w:sz w:val="24"/>
                <w:szCs w:val="24"/>
                <w:vertAlign w:val="baseline"/>
              </w:rPr>
              <w:t>《中华人民共和国畜牧法》第五十六条 县级人民政府畜牧兽医行政主管部门应当制定畜禽质量安全监督检查计划，按计划开展监督抽查工作。</w:t>
            </w:r>
          </w:p>
          <w:p>
            <w:pPr>
              <w:widowControl w:val="0"/>
              <w:jc w:val="left"/>
              <w:rPr>
                <w:rFonts w:hint="eastAsia"/>
                <w:sz w:val="24"/>
                <w:szCs w:val="24"/>
                <w:vertAlign w:val="baseline"/>
              </w:rPr>
            </w:pPr>
            <w:r>
              <w:rPr>
                <w:rFonts w:hint="eastAsia"/>
                <w:sz w:val="24"/>
                <w:szCs w:val="24"/>
                <w:vertAlign w:val="baseline"/>
              </w:rPr>
              <w:t>《中华人民共和国畜牧法》第二条第三款 蜂、蚕的资源保护利用和生产经营，适用本法有关规定。</w:t>
            </w:r>
          </w:p>
          <w:p>
            <w:pPr>
              <w:widowControl w:val="0"/>
              <w:jc w:val="left"/>
              <w:rPr>
                <w:rFonts w:hint="eastAsia"/>
                <w:sz w:val="24"/>
                <w:szCs w:val="24"/>
                <w:vertAlign w:val="baseline"/>
              </w:rPr>
            </w:pPr>
            <w:r>
              <w:rPr>
                <w:rFonts w:hint="eastAsia"/>
                <w:sz w:val="24"/>
                <w:szCs w:val="24"/>
                <w:vertAlign w:val="baseline"/>
              </w:rPr>
              <w:t>《蚕种管理办法》第二十六条 省级以上人民政府农业（蚕业）行政主管部门应当制定蚕种质量监督抽查计划并组织实施。</w:t>
            </w:r>
          </w:p>
          <w:p>
            <w:pPr>
              <w:widowControl w:val="0"/>
              <w:jc w:val="left"/>
              <w:rPr>
                <w:rFonts w:hint="eastAsia"/>
                <w:sz w:val="24"/>
                <w:szCs w:val="24"/>
                <w:vertAlign w:val="baseline"/>
              </w:rPr>
            </w:pPr>
            <w:r>
              <w:rPr>
                <w:rFonts w:hint="eastAsia"/>
                <w:sz w:val="24"/>
                <w:szCs w:val="24"/>
                <w:vertAlign w:val="baseline"/>
              </w:rPr>
              <w:t>农业部监督抽查的品种，省级农业（蚕业）行政主管部门不得重复抽查。监督抽查不得向被抽查者收取任何费用。</w:t>
            </w:r>
          </w:p>
          <w:p>
            <w:pPr>
              <w:widowControl w:val="0"/>
              <w:jc w:val="left"/>
              <w:rPr>
                <w:sz w:val="24"/>
                <w:szCs w:val="24"/>
                <w:vertAlign w:val="baseline"/>
              </w:rPr>
            </w:pPr>
            <w:r>
              <w:rPr>
                <w:rFonts w:hint="eastAsia"/>
                <w:sz w:val="24"/>
                <w:szCs w:val="24"/>
                <w:vertAlign w:val="baseline"/>
              </w:rPr>
              <w:t>承担蚕种质量检验的机构应当符合国家规定的条件，并经有关部门考核合格。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742" w:type="dxa"/>
            <w:vAlign w:val="center"/>
          </w:tcPr>
          <w:p>
            <w:pPr>
              <w:widowControl w:val="0"/>
              <w:jc w:val="center"/>
              <w:rPr>
                <w:rFonts w:hint="default"/>
                <w:sz w:val="24"/>
                <w:szCs w:val="24"/>
                <w:vertAlign w:val="baseline"/>
                <w:lang w:val="en-US" w:eastAsia="zh-CN"/>
              </w:rPr>
            </w:pPr>
            <w:r>
              <w:rPr>
                <w:rFonts w:hint="eastAsia"/>
                <w:sz w:val="24"/>
                <w:szCs w:val="24"/>
                <w:vertAlign w:val="baseline"/>
                <w:lang w:val="en-US" w:eastAsia="zh-CN"/>
              </w:rPr>
              <w:t>9</w:t>
            </w:r>
          </w:p>
        </w:tc>
        <w:tc>
          <w:tcPr>
            <w:tcW w:w="1181" w:type="dxa"/>
            <w:vAlign w:val="center"/>
          </w:tcPr>
          <w:p>
            <w:pPr>
              <w:widowControl w:val="0"/>
              <w:jc w:val="left"/>
              <w:rPr>
                <w:rFonts w:hint="default"/>
                <w:sz w:val="24"/>
                <w:szCs w:val="24"/>
                <w:vertAlign w:val="baseline"/>
                <w:lang w:val="en-US"/>
              </w:rPr>
            </w:pPr>
            <w:r>
              <w:rPr>
                <w:rFonts w:hint="default"/>
                <w:sz w:val="24"/>
                <w:szCs w:val="24"/>
                <w:vertAlign w:val="baseline"/>
                <w:lang w:val="en-US"/>
              </w:rPr>
              <w:t>水生野生动物及其制品利用活动的监督抽查</w:t>
            </w:r>
          </w:p>
        </w:tc>
        <w:tc>
          <w:tcPr>
            <w:tcW w:w="1235" w:type="dxa"/>
            <w:vAlign w:val="center"/>
          </w:tcPr>
          <w:p>
            <w:pPr>
              <w:widowControl w:val="0"/>
              <w:jc w:val="left"/>
              <w:rPr>
                <w:rFonts w:hint="default"/>
                <w:sz w:val="24"/>
                <w:szCs w:val="24"/>
                <w:vertAlign w:val="baseline"/>
                <w:lang w:val="en-US"/>
              </w:rPr>
            </w:pPr>
            <w:r>
              <w:rPr>
                <w:rFonts w:hint="default"/>
                <w:sz w:val="24"/>
                <w:szCs w:val="24"/>
                <w:vertAlign w:val="baseline"/>
                <w:lang w:val="en-US"/>
              </w:rPr>
              <w:t>经批准的利用水生野生动物及其制品的事业单位、企业、社会组织和个人</w:t>
            </w:r>
          </w:p>
        </w:tc>
        <w:tc>
          <w:tcPr>
            <w:tcW w:w="2787" w:type="dxa"/>
            <w:vAlign w:val="center"/>
          </w:tcPr>
          <w:p>
            <w:pPr>
              <w:widowControl w:val="0"/>
              <w:jc w:val="left"/>
              <w:rPr>
                <w:rFonts w:hint="default"/>
                <w:sz w:val="24"/>
                <w:szCs w:val="24"/>
                <w:vertAlign w:val="baseline"/>
                <w:lang w:val="en-US"/>
              </w:rPr>
            </w:pPr>
            <w:r>
              <w:rPr>
                <w:rFonts w:hint="default"/>
                <w:sz w:val="24"/>
                <w:szCs w:val="24"/>
                <w:vertAlign w:val="baseline"/>
                <w:lang w:val="en-US"/>
              </w:rPr>
              <w:t>水生野生动物及其制品利用活动</w:t>
            </w:r>
            <w:bookmarkStart w:id="0" w:name="_GoBack"/>
            <w:bookmarkEnd w:id="0"/>
          </w:p>
        </w:tc>
        <w:tc>
          <w:tcPr>
            <w:tcW w:w="1261" w:type="dxa"/>
            <w:vAlign w:val="center"/>
          </w:tcPr>
          <w:p>
            <w:pPr>
              <w:pStyle w:val="6"/>
              <w:keepNext w:val="0"/>
              <w:keepLines w:val="0"/>
              <w:widowControl/>
              <w:suppressLineNumbers w:val="0"/>
              <w:ind w:left="0" w:leftChars="0" w:right="0" w:rightChars="0"/>
              <w:jc w:val="left"/>
              <w:rPr>
                <w:rFonts w:hint="default" w:ascii="宋体" w:hAnsi="宋体" w:eastAsia="宋体" w:cs="宋体"/>
                <w:kern w:val="0"/>
                <w:sz w:val="24"/>
                <w:szCs w:val="24"/>
                <w:lang w:val="en-US"/>
              </w:rPr>
            </w:pPr>
            <w:r>
              <w:rPr>
                <w:rFonts w:hint="eastAsia" w:ascii="宋体" w:hAnsi="宋体" w:eastAsia="宋体" w:cs="宋体"/>
                <w:kern w:val="0"/>
                <w:sz w:val="24"/>
                <w:szCs w:val="24"/>
              </w:rPr>
              <w:t>一般检查事项</w:t>
            </w:r>
          </w:p>
        </w:tc>
        <w:tc>
          <w:tcPr>
            <w:tcW w:w="1301" w:type="dxa"/>
            <w:vAlign w:val="center"/>
          </w:tcPr>
          <w:p>
            <w:pPr>
              <w:pStyle w:val="6"/>
              <w:keepNext w:val="0"/>
              <w:keepLines w:val="0"/>
              <w:widowControl/>
              <w:suppressLineNumbers w:val="0"/>
              <w:ind w:left="0" w:leftChars="0" w:right="0" w:rightChars="0"/>
              <w:jc w:val="left"/>
              <w:rPr>
                <w:rFonts w:hint="default" w:ascii="宋体" w:hAnsi="宋体" w:eastAsia="宋体" w:cs="宋体"/>
                <w:kern w:val="0"/>
                <w:sz w:val="24"/>
                <w:szCs w:val="24"/>
                <w:lang w:val="en-US"/>
              </w:rPr>
            </w:pPr>
            <w:r>
              <w:rPr>
                <w:rFonts w:hint="eastAsia" w:ascii="宋体" w:hAnsi="宋体" w:eastAsia="宋体" w:cs="宋体"/>
                <w:kern w:val="0"/>
                <w:sz w:val="24"/>
                <w:szCs w:val="24"/>
              </w:rPr>
              <w:t>现场检查</w:t>
            </w:r>
          </w:p>
        </w:tc>
        <w:tc>
          <w:tcPr>
            <w:tcW w:w="2164" w:type="dxa"/>
            <w:vAlign w:val="center"/>
          </w:tcPr>
          <w:p>
            <w:pPr>
              <w:pStyle w:val="6"/>
              <w:keepNext w:val="0"/>
              <w:keepLines w:val="0"/>
              <w:widowControl/>
              <w:suppressLineNumbers w:val="0"/>
              <w:ind w:left="0" w:leftChars="0" w:right="0" w:rightChars="0"/>
              <w:jc w:val="left"/>
              <w:rPr>
                <w:rFonts w:hint="default" w:ascii="宋体" w:hAnsi="宋体" w:eastAsia="宋体" w:cs="宋体"/>
                <w:kern w:val="0"/>
                <w:sz w:val="24"/>
                <w:szCs w:val="24"/>
                <w:lang w:val="en-US"/>
              </w:rPr>
            </w:pPr>
            <w:r>
              <w:rPr>
                <w:rFonts w:hint="eastAsia" w:ascii="宋体" w:hAnsi="宋体" w:eastAsia="宋体" w:cs="宋体"/>
                <w:kern w:val="0"/>
                <w:sz w:val="24"/>
                <w:szCs w:val="24"/>
              </w:rPr>
              <w:t>每年抽查比例 不 低 于5%，3次/年</w:t>
            </w:r>
          </w:p>
        </w:tc>
        <w:tc>
          <w:tcPr>
            <w:tcW w:w="1195" w:type="dxa"/>
            <w:vAlign w:val="center"/>
          </w:tcPr>
          <w:p>
            <w:pPr>
              <w:pStyle w:val="6"/>
              <w:keepNext w:val="0"/>
              <w:keepLines w:val="0"/>
              <w:widowControl/>
              <w:suppressLineNumbers w:val="0"/>
              <w:ind w:left="0" w:leftChars="0" w:right="0" w:rightChars="0"/>
              <w:jc w:val="left"/>
              <w:rPr>
                <w:rFonts w:hint="default" w:cs="宋体"/>
                <w:kern w:val="0"/>
                <w:sz w:val="24"/>
                <w:szCs w:val="24"/>
                <w:lang w:val="en-US" w:eastAsia="zh-CN"/>
              </w:rPr>
            </w:pPr>
            <w:r>
              <w:rPr>
                <w:rFonts w:hint="eastAsia" w:cs="宋体"/>
                <w:kern w:val="0"/>
                <w:sz w:val="24"/>
                <w:szCs w:val="24"/>
                <w:lang w:val="en-US" w:eastAsia="zh-CN"/>
              </w:rPr>
              <w:t>神木市农业农村局</w:t>
            </w:r>
          </w:p>
        </w:tc>
        <w:tc>
          <w:tcPr>
            <w:tcW w:w="8893" w:type="dxa"/>
            <w:vAlign w:val="center"/>
          </w:tcPr>
          <w:p>
            <w:pPr>
              <w:widowControl w:val="0"/>
              <w:jc w:val="left"/>
              <w:rPr>
                <w:rFonts w:hint="default"/>
                <w:sz w:val="24"/>
                <w:szCs w:val="24"/>
                <w:vertAlign w:val="baseline"/>
                <w:lang w:val="en-US"/>
              </w:rPr>
            </w:pPr>
            <w:r>
              <w:rPr>
                <w:rFonts w:hint="default"/>
                <w:sz w:val="24"/>
                <w:szCs w:val="24"/>
                <w:vertAlign w:val="baseline"/>
                <w:lang w:val="en-US"/>
              </w:rPr>
              <w:t>《野生动物保护法》第三十四条第一款 县级以上人民政府野生动物保护主管部门应当对科学研究、人工繁育、公众展示展演等利用野生动物及其制品的活动进行监督管理。</w:t>
            </w:r>
          </w:p>
          <w:p>
            <w:pPr>
              <w:widowControl w:val="0"/>
              <w:jc w:val="left"/>
              <w:rPr>
                <w:rFonts w:hint="default"/>
                <w:sz w:val="24"/>
                <w:szCs w:val="24"/>
                <w:vertAlign w:val="baseline"/>
                <w:lang w:val="en-US"/>
              </w:rPr>
            </w:pPr>
            <w:r>
              <w:rPr>
                <w:rFonts w:hint="default"/>
                <w:sz w:val="24"/>
                <w:szCs w:val="24"/>
                <w:vertAlign w:val="baseline"/>
                <w:lang w:val="en-US"/>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p>
          <w:p>
            <w:pPr>
              <w:widowControl w:val="0"/>
              <w:jc w:val="left"/>
              <w:rPr>
                <w:rFonts w:hint="default"/>
                <w:sz w:val="24"/>
                <w:szCs w:val="24"/>
                <w:vertAlign w:val="baseline"/>
                <w:lang w:val="en-US"/>
              </w:rPr>
            </w:pPr>
            <w:r>
              <w:rPr>
                <w:rFonts w:hint="default"/>
                <w:sz w:val="24"/>
                <w:szCs w:val="24"/>
                <w:vertAlign w:val="baseline"/>
                <w:lang w:val="en-US"/>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pPr>
              <w:widowControl w:val="0"/>
              <w:jc w:val="left"/>
              <w:rPr>
                <w:rFonts w:hint="default"/>
                <w:sz w:val="24"/>
                <w:szCs w:val="24"/>
                <w:vertAlign w:val="baseline"/>
                <w:lang w:val="en-US"/>
              </w:rPr>
            </w:pPr>
            <w:r>
              <w:rPr>
                <w:rFonts w:hint="default"/>
                <w:sz w:val="24"/>
                <w:szCs w:val="24"/>
                <w:vertAlign w:val="baseline"/>
                <w:lang w:val="en-US"/>
              </w:rPr>
              <w:t>《云南省渔业条例》第三十五条 县级以上人民政府工商行政管理部门、渔业行政主管部门应当建立水生野生动物及其产品经营利用的监督检查制度，加强对进入市场的水生野生动物及其产品的监督管理。</w:t>
            </w:r>
          </w:p>
        </w:tc>
      </w:tr>
    </w:tbl>
    <w:p>
      <w:pPr>
        <w:jc w:val="left"/>
        <w:rPr>
          <w:rFonts w:hint="default"/>
          <w:b/>
          <w:bCs w:val="0"/>
          <w:color w:val="auto"/>
          <w:sz w:val="32"/>
          <w:szCs w:val="32"/>
          <w:lang w:val="en-US" w:eastAsia="zh-CN"/>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436"/>
    <w:rsid w:val="00CC4EB8"/>
    <w:rsid w:val="0CB86311"/>
    <w:rsid w:val="21C37937"/>
    <w:rsid w:val="334B6436"/>
    <w:rsid w:val="353A207C"/>
    <w:rsid w:val="4B58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2022-07-27T02:58:00Z</dcterms:created>
  <dc:creator>Administrator</dc:creator>
  <cp:lastModifiedBy>Administrator</cp:lastModifiedBy>
  <dcterms:modified xsi:type="dcterms:W3CDTF">2022-07-27T05:02:57Z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