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
      <w:pPr>
        <w:bidi w:val="0"/>
        <w:spacing w:line="360" w:lineRule="auto"/>
        <w:rPr>
          <w:rFonts w:hint="eastAsia" w:ascii="黑体" w:hAnsi="黑体" w:eastAsia="黑体" w:cs="黑体"/>
          <w:b/>
          <w:bCs/>
        </w:rPr>
      </w:pPr>
      <w:r>
        <w:rPr>
          <w:rFonts w:hint="eastAsia" w:ascii="黑体" w:hAnsi="黑体" w:eastAsia="黑体" w:cs="黑体"/>
          <w:b/>
          <w:bCs/>
          <w:lang w:eastAsia="zh-CN"/>
        </w:rPr>
        <w:t>一、</w:t>
      </w:r>
      <w:r>
        <w:rPr>
          <w:rFonts w:hint="eastAsia" w:ascii="黑体" w:hAnsi="黑体" w:eastAsia="黑体" w:cs="黑体"/>
          <w:b/>
          <w:bCs/>
        </w:rPr>
        <w:t>脱氢乙酸及其钠盐(以脱氢乙酸计)</w:t>
      </w:r>
    </w:p>
    <w:p>
      <w:pPr>
        <w:bidi w:val="0"/>
        <w:spacing w:line="360" w:lineRule="auto"/>
        <w:rPr>
          <w:rFonts w:hint="eastAsia"/>
        </w:rPr>
      </w:pPr>
      <w:r>
        <w:rPr>
          <w:rFonts w:hint="eastAsia"/>
        </w:rPr>
        <w:t>脱氢乙酸及其钠盐作为一种广谱食品防腐剂，对霉菌和酵母菌的抑制能力强。脱氢乙酸及其钠盐能被人体完全吸收，并能抑制人体内多种氧化酶，长期过量摄入脱氢乙酸及其钠盐会危害人体健康。脱氢乙酸及其钠盐（以脱氢乙酸计）检出的原因，可能是生产企业为防止食品腐败变质超限量使用了该食品添加剂，也可能是其使用的复配添加剂中该添加剂含量较高，还可能是在添加过程中未准确计量。</w:t>
      </w:r>
    </w:p>
    <w:p>
      <w:pPr>
        <w:bidi w:val="0"/>
        <w:spacing w:line="360" w:lineRule="auto"/>
        <w:rPr>
          <w:rFonts w:hint="eastAsia" w:ascii="黑体" w:hAnsi="黑体" w:eastAsia="黑体" w:cs="黑体"/>
          <w:b/>
          <w:bCs/>
        </w:rPr>
      </w:pPr>
      <w:r>
        <w:rPr>
          <w:rFonts w:hint="eastAsia" w:ascii="黑体" w:hAnsi="黑体" w:eastAsia="黑体" w:cs="黑体"/>
          <w:b/>
          <w:bCs/>
          <w:lang w:eastAsia="zh-CN"/>
        </w:rPr>
        <w:t>二、</w:t>
      </w:r>
      <w:r>
        <w:rPr>
          <w:rFonts w:hint="eastAsia" w:ascii="黑体" w:hAnsi="黑体" w:eastAsia="黑体" w:cs="黑体"/>
          <w:b/>
          <w:bCs/>
        </w:rPr>
        <w:t>二氧化硫残留量</w:t>
      </w:r>
    </w:p>
    <w:p>
      <w:pPr>
        <w:bidi w:val="0"/>
        <w:spacing w:line="360" w:lineRule="auto"/>
        <w:rPr>
          <w:rFonts w:hint="eastAsia"/>
        </w:rPr>
      </w:pPr>
      <w:r>
        <w:rPr>
          <w:rFonts w:hint="eastAsia"/>
        </w:rPr>
        <w:t>二氧化硫是食品加工中常用的漂白剂和防腐剂，具有漂白、防腐和抗氧化作用。少量二氧化硫进入人体不会对身体健康造成危害，但过量食用会引起如恶心、呕吐等胃肠道反应。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p>
      <w:pPr>
        <w:bidi w:val="0"/>
        <w:spacing w:line="360" w:lineRule="auto"/>
        <w:rPr>
          <w:rFonts w:hint="eastAsia" w:ascii="黑体" w:hAnsi="黑体" w:eastAsia="黑体" w:cs="黑体"/>
          <w:b/>
          <w:bCs/>
        </w:rPr>
      </w:pPr>
      <w:r>
        <w:rPr>
          <w:rFonts w:hint="eastAsia" w:ascii="黑体" w:hAnsi="黑体" w:eastAsia="黑体" w:cs="黑体"/>
          <w:b/>
          <w:bCs/>
          <w:lang w:eastAsia="zh-CN"/>
        </w:rPr>
        <w:t>三、</w:t>
      </w:r>
      <w:r>
        <w:rPr>
          <w:rFonts w:hint="eastAsia" w:ascii="黑体" w:hAnsi="黑体" w:eastAsia="黑体" w:cs="黑体"/>
          <w:b/>
          <w:bCs/>
        </w:rPr>
        <w:t>防腐剂混合使用时各自用量占其最大使用量的比例之和</w:t>
      </w:r>
    </w:p>
    <w:p>
      <w:pPr>
        <w:bidi w:val="0"/>
        <w:spacing w:line="360" w:lineRule="auto"/>
      </w:pPr>
      <w:r>
        <w:rPr>
          <w:rFonts w:hint="eastAsia"/>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pPr>
        <w:bidi w:val="0"/>
        <w:spacing w:line="360" w:lineRule="auto"/>
        <w:rPr>
          <w:rFonts w:hint="eastAsia" w:ascii="黑体" w:hAnsi="黑体" w:eastAsia="黑体" w:cs="黑体"/>
          <w:b/>
          <w:bCs/>
          <w:lang w:val="en-US" w:eastAsia="zh-CN"/>
        </w:rPr>
      </w:pPr>
      <w:r>
        <w:rPr>
          <w:rFonts w:hint="eastAsia" w:ascii="黑体" w:hAnsi="黑体" w:eastAsia="黑体" w:cs="黑体"/>
          <w:b/>
          <w:bCs/>
          <w:lang w:val="en-US" w:eastAsia="zh-CN"/>
        </w:rPr>
        <w:t>四、毒死蜱</w:t>
      </w:r>
    </w:p>
    <w:p>
      <w:pPr>
        <w:bidi w:val="0"/>
        <w:spacing w:line="360" w:lineRule="auto"/>
        <w:rPr>
          <w:rFonts w:hint="eastAsia"/>
          <w:lang w:val="en-US" w:eastAsia="zh-CN"/>
        </w:rPr>
      </w:pPr>
      <w:r>
        <w:rPr>
          <w:rFonts w:hint="eastAsia"/>
          <w:lang w:val="en-US" w:eastAsia="zh-CN"/>
        </w:rPr>
        <w:t>毒死蜱是一种硫代磷酸酯类有机磷杀虫、杀螨剂，具有良好的触杀、胃毒和熏蒸作用。少量的残留不会引起人体急性中毒，但长期食用毒死蜱残留超标的食品，可能对人体健康有一定影响。毒死蜱残留量超标的原因，可能是为快速控制虫害而违规使用。</w:t>
      </w:r>
    </w:p>
    <w:p>
      <w:pPr>
        <w:bidi w:val="0"/>
        <w:spacing w:line="360" w:lineRule="auto"/>
        <w:rPr>
          <w:rFonts w:hint="eastAsia" w:ascii="黑体" w:hAnsi="黑体" w:eastAsia="黑体" w:cs="黑体"/>
          <w:b/>
          <w:bCs/>
          <w:lang w:val="en-US" w:eastAsia="zh-CN"/>
        </w:rPr>
      </w:pPr>
      <w:r>
        <w:rPr>
          <w:rFonts w:hint="eastAsia" w:ascii="黑体" w:hAnsi="黑体" w:eastAsia="黑体" w:cs="黑体"/>
          <w:b/>
          <w:bCs/>
          <w:lang w:val="en-US" w:eastAsia="zh-CN"/>
        </w:rPr>
        <w:t>五、恩诺沙星</w:t>
      </w:r>
    </w:p>
    <w:p>
      <w:pPr>
        <w:bidi w:val="0"/>
        <w:spacing w:line="360" w:lineRule="auto"/>
        <w:rPr>
          <w:rFonts w:hint="eastAsia"/>
          <w:lang w:val="en-US" w:eastAsia="zh-CN"/>
        </w:rPr>
      </w:pPr>
      <w:r>
        <w:rPr>
          <w:rFonts w:hint="eastAsia"/>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养殖过程中为快速控制疫病，违规加大用药量或不遵守休药期规定，致使产品上市销售时的药物残留量超标。</w:t>
      </w:r>
    </w:p>
    <w:p>
      <w:pPr>
        <w:bidi w:val="0"/>
        <w:spacing w:line="360" w:lineRule="auto"/>
        <w:rPr>
          <w:rFonts w:hint="eastAsia" w:ascii="黑体" w:hAnsi="黑体" w:eastAsia="黑体" w:cs="黑体"/>
          <w:b/>
          <w:bCs/>
          <w:lang w:val="en-US" w:eastAsia="zh-CN"/>
        </w:rPr>
      </w:pPr>
      <w:r>
        <w:rPr>
          <w:rFonts w:hint="eastAsia" w:ascii="黑体" w:hAnsi="黑体" w:eastAsia="黑体" w:cs="黑体"/>
          <w:b/>
          <w:bCs/>
          <w:lang w:val="en-US" w:eastAsia="zh-CN"/>
        </w:rPr>
        <w:t>六、腐霉利</w:t>
      </w:r>
    </w:p>
    <w:p>
      <w:pPr>
        <w:bidi w:val="0"/>
        <w:spacing w:line="360" w:lineRule="auto"/>
        <w:rPr>
          <w:rFonts w:hint="eastAsia"/>
          <w:lang w:val="en-US" w:eastAsia="zh-CN"/>
        </w:rPr>
      </w:pPr>
      <w:r>
        <w:rPr>
          <w:rFonts w:hint="eastAsia"/>
          <w:lang w:val="en-US" w:eastAsia="zh-CN"/>
        </w:rPr>
        <w:t>腐霉利是一种广谱内吸性的高效杀菌剂，对低温高湿条件下发生的灰霉病、菌核病有显著效果，但菌株容易对其产生抗性。少量的残留不会引起人体急性中毒，但长期食用腐霉利超标的食品，可能对人体健康有一定影响。韭菜中腐霉利残留量超标的原因，可能是为快速控制病情，加大用药量或未遵守采摘间隔期规定，致使上市销售的产品中残留量超标。</w:t>
      </w:r>
    </w:p>
    <w:p>
      <w:pPr>
        <w:bidi w:val="0"/>
        <w:spacing w:line="360" w:lineRule="auto"/>
        <w:rPr>
          <w:rFonts w:hint="eastAsia" w:ascii="黑体" w:hAnsi="黑体" w:eastAsia="黑体" w:cs="黑体"/>
          <w:b/>
          <w:bCs/>
          <w:lang w:val="en-US" w:eastAsia="zh-CN"/>
        </w:rPr>
      </w:pPr>
      <w:r>
        <w:rPr>
          <w:rFonts w:hint="eastAsia" w:ascii="黑体" w:hAnsi="黑体" w:eastAsia="黑体" w:cs="黑体"/>
          <w:b/>
          <w:bCs/>
          <w:lang w:val="en-US" w:eastAsia="zh-CN"/>
        </w:rPr>
        <w:t>七、联苯菊酯</w:t>
      </w:r>
    </w:p>
    <w:p>
      <w:pPr>
        <w:bidi w:val="0"/>
        <w:spacing w:line="360" w:lineRule="auto"/>
        <w:rPr>
          <w:rFonts w:hint="eastAsia"/>
          <w:lang w:val="en-US" w:eastAsia="zh-CN"/>
        </w:rPr>
      </w:pPr>
      <w:r>
        <w:rPr>
          <w:rFonts w:hint="eastAsia"/>
          <w:lang w:val="en-US" w:eastAsia="zh-CN"/>
        </w:rPr>
        <w:t>联苯菊酯为一种拟除虫菊酯类杀虫剂，属于低毒性或中等毒性、高效低残留型农药。一般情况下，联苯菊酯对人体有害。可通过直接接触、呼吸道吸入或消化道摄入等途径对皮肤及黏膜、神经系统、消化系统等造成一定危害。造成联苯菊酯不合格的原因可能是为</w:t>
      </w:r>
      <w:bookmarkStart w:id="0" w:name="_GoBack"/>
      <w:bookmarkEnd w:id="0"/>
      <w:r>
        <w:rPr>
          <w:rFonts w:hint="eastAsia"/>
          <w:lang w:val="en-US" w:eastAsia="zh-CN"/>
        </w:rPr>
        <w:t>快速控制虫害而违规使用。</w:t>
      </w:r>
    </w:p>
    <w:sectPr>
      <w:pgSz w:w="11911" w:h="16838"/>
      <w:pgMar w:top="1077" w:right="1134" w:bottom="1020" w:left="1247" w:header="0" w:footer="998"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8EBFDF-2149-40E5-A3E1-F93DB1BEF9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7207AD7-82C7-4743-8164-434B20B53CC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7D348"/>
    <w:multiLevelType w:val="multilevel"/>
    <w:tmpl w:val="AC07D348"/>
    <w:lvl w:ilvl="0" w:tentative="0">
      <w:start w:val="1"/>
      <w:numFmt w:val="chineseCounting"/>
      <w:pStyle w:val="4"/>
      <w:suff w:val="nothing"/>
      <w:lvlText w:val="%1、"/>
      <w:lvlJc w:val="left"/>
      <w:pPr>
        <w:tabs>
          <w:tab w:val="left" w:pos="0"/>
        </w:tabs>
        <w:ind w:left="0" w:firstLine="0"/>
      </w:pPr>
      <w:rPr>
        <w:rFonts w:hint="eastAsia"/>
      </w:rPr>
    </w:lvl>
    <w:lvl w:ilvl="1" w:tentative="0">
      <w:start w:val="1"/>
      <w:numFmt w:val="decimal"/>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2"/>
      </w:pPr>
      <w:rPr>
        <w:rFonts w:hint="eastAsia"/>
      </w:rPr>
    </w:lvl>
    <w:lvl w:ilvl="3" w:tentative="0">
      <w:start w:val="1"/>
      <w:numFmt w:val="decimal"/>
      <w:pStyle w:val="8"/>
      <w:suff w:val="nothing"/>
      <w:lvlText w:val="【%4】"/>
      <w:lvlJc w:val="left"/>
      <w:pPr>
        <w:ind w:left="0" w:firstLine="0"/>
      </w:pPr>
      <w:rPr>
        <w:rFonts w:hint="eastAsia"/>
      </w:rPr>
    </w:lvl>
    <w:lvl w:ilvl="4" w:tentative="0">
      <w:start w:val="1"/>
      <w:numFmt w:val="decimal"/>
      <w:pStyle w:val="9"/>
      <w:suff w:val="nothing"/>
      <w:lvlText w:val="%5）"/>
      <w:lvlJc w:val="left"/>
      <w:pPr>
        <w:ind w:left="0" w:firstLine="0"/>
      </w:pPr>
      <w:rPr>
        <w:rFonts w:hint="eastAsia"/>
      </w:rPr>
    </w:lvl>
    <w:lvl w:ilvl="5" w:tentative="0">
      <w:start w:val="1"/>
      <w:numFmt w:val="lowerLetter"/>
      <w:pStyle w:val="10"/>
      <w:suff w:val="nothing"/>
      <w:lvlText w:val="%6．"/>
      <w:lvlJc w:val="left"/>
      <w:pPr>
        <w:ind w:left="0" w:firstLine="0"/>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C384152"/>
    <w:multiLevelType w:val="multilevel"/>
    <w:tmpl w:val="BC384152"/>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EnclosedCircleChinese"/>
      <w:suff w:val="nothing"/>
      <w:lvlText w:val="%6"/>
      <w:lvlJc w:val="left"/>
      <w:pPr>
        <w:tabs>
          <w:tab w:val="left" w:pos="0"/>
        </w:tabs>
        <w:ind w:left="0" w:firstLine="402"/>
      </w:pPr>
      <w:rPr>
        <w:rFonts w:hint="eastAsia" w:ascii="宋体" w:hAnsi="宋体" w:eastAsia="宋体" w:cs="宋体"/>
      </w:rPr>
    </w:lvl>
    <w:lvl w:ilvl="6" w:tentative="0">
      <w:start w:val="1"/>
      <w:numFmt w:val="lowerLetter"/>
      <w:pStyle w:val="11"/>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mZlOWI1MTg3NGM4M2E5M2UxZDhmYTJhYmQzZWIifQ=="/>
  </w:docVars>
  <w:rsids>
    <w:rsidRoot w:val="6C153AD3"/>
    <w:rsid w:val="008925D0"/>
    <w:rsid w:val="00A446DF"/>
    <w:rsid w:val="01844EB2"/>
    <w:rsid w:val="01AA2F3E"/>
    <w:rsid w:val="01AA5061"/>
    <w:rsid w:val="023A4A98"/>
    <w:rsid w:val="03312504"/>
    <w:rsid w:val="03402A6E"/>
    <w:rsid w:val="076B68AE"/>
    <w:rsid w:val="07857EB3"/>
    <w:rsid w:val="08DA7138"/>
    <w:rsid w:val="0C856B09"/>
    <w:rsid w:val="0E8108C8"/>
    <w:rsid w:val="10390667"/>
    <w:rsid w:val="111A437D"/>
    <w:rsid w:val="11C56A7A"/>
    <w:rsid w:val="127D2CC2"/>
    <w:rsid w:val="12D560E5"/>
    <w:rsid w:val="139A3667"/>
    <w:rsid w:val="16323FAB"/>
    <w:rsid w:val="16C56AFB"/>
    <w:rsid w:val="16FB4072"/>
    <w:rsid w:val="17477E88"/>
    <w:rsid w:val="17613439"/>
    <w:rsid w:val="18511BCA"/>
    <w:rsid w:val="19534ED1"/>
    <w:rsid w:val="1A0C48CF"/>
    <w:rsid w:val="1A8D1D34"/>
    <w:rsid w:val="1C497FF9"/>
    <w:rsid w:val="1D4369BD"/>
    <w:rsid w:val="1FC45AFF"/>
    <w:rsid w:val="21EA55B1"/>
    <w:rsid w:val="228B44C0"/>
    <w:rsid w:val="22942BC6"/>
    <w:rsid w:val="22D11E91"/>
    <w:rsid w:val="231F61B9"/>
    <w:rsid w:val="235829CB"/>
    <w:rsid w:val="23B720F8"/>
    <w:rsid w:val="23CE7442"/>
    <w:rsid w:val="2486262F"/>
    <w:rsid w:val="24FB20D1"/>
    <w:rsid w:val="25CC26A6"/>
    <w:rsid w:val="264C1707"/>
    <w:rsid w:val="276C6A7E"/>
    <w:rsid w:val="27D3161A"/>
    <w:rsid w:val="284D377D"/>
    <w:rsid w:val="28CD6E8D"/>
    <w:rsid w:val="28D5571F"/>
    <w:rsid w:val="28DB51AA"/>
    <w:rsid w:val="28DF3005"/>
    <w:rsid w:val="29B201D5"/>
    <w:rsid w:val="2AF02ACB"/>
    <w:rsid w:val="2BE311EA"/>
    <w:rsid w:val="2CAA02F4"/>
    <w:rsid w:val="2D371BB4"/>
    <w:rsid w:val="2E52619A"/>
    <w:rsid w:val="2E5F2F02"/>
    <w:rsid w:val="30231207"/>
    <w:rsid w:val="312B05C8"/>
    <w:rsid w:val="32CA1230"/>
    <w:rsid w:val="32D22F57"/>
    <w:rsid w:val="34452E08"/>
    <w:rsid w:val="345001BF"/>
    <w:rsid w:val="34C50EF3"/>
    <w:rsid w:val="35070465"/>
    <w:rsid w:val="357F17E7"/>
    <w:rsid w:val="366D2B1E"/>
    <w:rsid w:val="37BF1155"/>
    <w:rsid w:val="38F22650"/>
    <w:rsid w:val="3912693E"/>
    <w:rsid w:val="395F03A1"/>
    <w:rsid w:val="3A204B98"/>
    <w:rsid w:val="3B9D5CA4"/>
    <w:rsid w:val="3C0F5918"/>
    <w:rsid w:val="3DB82D12"/>
    <w:rsid w:val="3DC47D0C"/>
    <w:rsid w:val="3DE369FE"/>
    <w:rsid w:val="3DE744B2"/>
    <w:rsid w:val="3E0C2DED"/>
    <w:rsid w:val="3E870F9E"/>
    <w:rsid w:val="3EF43B9C"/>
    <w:rsid w:val="3F2446BC"/>
    <w:rsid w:val="3F7751D1"/>
    <w:rsid w:val="40D90052"/>
    <w:rsid w:val="40F84C81"/>
    <w:rsid w:val="4241338F"/>
    <w:rsid w:val="4252760F"/>
    <w:rsid w:val="42BD598B"/>
    <w:rsid w:val="430E697C"/>
    <w:rsid w:val="438D2934"/>
    <w:rsid w:val="44E4041B"/>
    <w:rsid w:val="45381CD1"/>
    <w:rsid w:val="45633A36"/>
    <w:rsid w:val="459A542A"/>
    <w:rsid w:val="45F97EF6"/>
    <w:rsid w:val="465C6982"/>
    <w:rsid w:val="46F95B15"/>
    <w:rsid w:val="48BA065B"/>
    <w:rsid w:val="48D60A80"/>
    <w:rsid w:val="490347AD"/>
    <w:rsid w:val="496C1A8F"/>
    <w:rsid w:val="4975323F"/>
    <w:rsid w:val="4AFC777D"/>
    <w:rsid w:val="4B765407"/>
    <w:rsid w:val="4D0D3AAC"/>
    <w:rsid w:val="4EB048BC"/>
    <w:rsid w:val="4FD37ECC"/>
    <w:rsid w:val="5043139F"/>
    <w:rsid w:val="50A66392"/>
    <w:rsid w:val="50FD2D95"/>
    <w:rsid w:val="513632C5"/>
    <w:rsid w:val="51D820CD"/>
    <w:rsid w:val="52000EDD"/>
    <w:rsid w:val="52057E30"/>
    <w:rsid w:val="52794C1D"/>
    <w:rsid w:val="543F2100"/>
    <w:rsid w:val="54663E06"/>
    <w:rsid w:val="54886196"/>
    <w:rsid w:val="54BE47E5"/>
    <w:rsid w:val="56FD4815"/>
    <w:rsid w:val="574B374E"/>
    <w:rsid w:val="58324DC4"/>
    <w:rsid w:val="587417C9"/>
    <w:rsid w:val="59295DAB"/>
    <w:rsid w:val="5A91517C"/>
    <w:rsid w:val="5AED51F1"/>
    <w:rsid w:val="5AF73EAE"/>
    <w:rsid w:val="5CF51E42"/>
    <w:rsid w:val="5E2D6813"/>
    <w:rsid w:val="5EBE2B7F"/>
    <w:rsid w:val="5F0B24F8"/>
    <w:rsid w:val="60857311"/>
    <w:rsid w:val="61607B13"/>
    <w:rsid w:val="616D4791"/>
    <w:rsid w:val="6180475B"/>
    <w:rsid w:val="63C078F8"/>
    <w:rsid w:val="640F4E5C"/>
    <w:rsid w:val="64682464"/>
    <w:rsid w:val="65000502"/>
    <w:rsid w:val="65150E2B"/>
    <w:rsid w:val="67184FC1"/>
    <w:rsid w:val="677E2451"/>
    <w:rsid w:val="67A0545C"/>
    <w:rsid w:val="680E62DD"/>
    <w:rsid w:val="691242A9"/>
    <w:rsid w:val="6A5F5A4F"/>
    <w:rsid w:val="6B6A51C6"/>
    <w:rsid w:val="6BB74FB4"/>
    <w:rsid w:val="6C153AD3"/>
    <w:rsid w:val="6D744027"/>
    <w:rsid w:val="6E66347A"/>
    <w:rsid w:val="6FF65877"/>
    <w:rsid w:val="70885FC4"/>
    <w:rsid w:val="70BD374B"/>
    <w:rsid w:val="729B44A3"/>
    <w:rsid w:val="73007A0C"/>
    <w:rsid w:val="73B35770"/>
    <w:rsid w:val="74A80EFC"/>
    <w:rsid w:val="7598739B"/>
    <w:rsid w:val="75D00169"/>
    <w:rsid w:val="75F877A1"/>
    <w:rsid w:val="76F66871"/>
    <w:rsid w:val="77074A9D"/>
    <w:rsid w:val="787D706C"/>
    <w:rsid w:val="787F6D5A"/>
    <w:rsid w:val="789327F1"/>
    <w:rsid w:val="7AA0383D"/>
    <w:rsid w:val="7B5B3A01"/>
    <w:rsid w:val="7B7A5B63"/>
    <w:rsid w:val="7C1F497C"/>
    <w:rsid w:val="7D3573D2"/>
    <w:rsid w:val="7E723DC7"/>
    <w:rsid w:val="7F410584"/>
    <w:rsid w:val="7FAA77D9"/>
    <w:rsid w:val="7FB8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qFormat/>
    <w:uiPriority w:val="0"/>
    <w:pPr>
      <w:keepNext/>
      <w:keepLines/>
      <w:numPr>
        <w:ilvl w:val="0"/>
        <w:numId w:val="1"/>
      </w:numPr>
      <w:spacing w:before="220" w:beforeLines="0" w:beforeAutospacing="0" w:after="220" w:afterLines="0" w:afterAutospacing="0" w:line="288" w:lineRule="auto"/>
      <w:ind w:left="0" w:firstLine="0"/>
      <w:jc w:val="center"/>
      <w:outlineLvl w:val="0"/>
    </w:pPr>
    <w:rPr>
      <w:rFonts w:ascii="Calibri" w:hAnsi="Calibri" w:eastAsia="宋体" w:cs="Times New Roman"/>
      <w:b/>
      <w:snapToGrid w:val="0"/>
      <w:color w:val="000000"/>
      <w:kern w:val="44"/>
      <w:sz w:val="36"/>
      <w:szCs w:val="24"/>
      <w:lang w:eastAsia="en-US"/>
    </w:rPr>
  </w:style>
  <w:style w:type="paragraph" w:styleId="5">
    <w:name w:val="heading 2"/>
    <w:basedOn w:val="1"/>
    <w:next w:val="1"/>
    <w:link w:val="18"/>
    <w:semiHidden/>
    <w:unhideWhenUsed/>
    <w:qFormat/>
    <w:uiPriority w:val="0"/>
    <w:pPr>
      <w:keepNext/>
      <w:keepLines/>
      <w:numPr>
        <w:ilvl w:val="1"/>
        <w:numId w:val="1"/>
      </w:numPr>
      <w:spacing w:before="140" w:beforeLines="0" w:beforeAutospacing="0" w:after="140" w:afterLines="0" w:afterAutospacing="0" w:line="336" w:lineRule="auto"/>
      <w:ind w:left="0" w:firstLine="0"/>
      <w:jc w:val="center"/>
      <w:outlineLvl w:val="1"/>
    </w:pPr>
    <w:rPr>
      <w:rFonts w:ascii="Arial" w:hAnsi="Arial" w:eastAsia="宋体" w:cs="Times New Roman"/>
      <w:b/>
      <w:kern w:val="2"/>
      <w:sz w:val="32"/>
      <w:szCs w:val="24"/>
    </w:rPr>
  </w:style>
  <w:style w:type="paragraph" w:styleId="6">
    <w:name w:val="heading 3"/>
    <w:basedOn w:val="1"/>
    <w:next w:val="7"/>
    <w:link w:val="19"/>
    <w:semiHidden/>
    <w:unhideWhenUsed/>
    <w:qFormat/>
    <w:uiPriority w:val="0"/>
    <w:pPr>
      <w:keepNext/>
      <w:keepLines/>
      <w:numPr>
        <w:ilvl w:val="2"/>
        <w:numId w:val="1"/>
      </w:numPr>
      <w:tabs>
        <w:tab w:val="left" w:pos="0"/>
      </w:tabs>
      <w:spacing w:beforeLines="0" w:beforeAutospacing="0" w:afterLines="0" w:afterAutospacing="0" w:line="312" w:lineRule="auto"/>
      <w:ind w:left="0" w:firstLine="402"/>
      <w:jc w:val="center"/>
      <w:outlineLvl w:val="2"/>
    </w:pPr>
    <w:rPr>
      <w:rFonts w:ascii="Arial" w:hAnsi="Arial" w:eastAsia="宋体" w:cs="Arial"/>
      <w:b/>
      <w:snapToGrid w:val="0"/>
      <w:color w:val="000000"/>
      <w:kern w:val="2"/>
      <w:sz w:val="30"/>
      <w:szCs w:val="21"/>
    </w:rPr>
  </w:style>
  <w:style w:type="paragraph" w:styleId="8">
    <w:name w:val="heading 4"/>
    <w:basedOn w:val="1"/>
    <w:next w:val="1"/>
    <w:link w:val="21"/>
    <w:semiHidden/>
    <w:unhideWhenUsed/>
    <w:qFormat/>
    <w:uiPriority w:val="0"/>
    <w:pPr>
      <w:keepNext/>
      <w:keepLines/>
      <w:numPr>
        <w:ilvl w:val="3"/>
        <w:numId w:val="1"/>
      </w:numPr>
      <w:tabs>
        <w:tab w:val="left" w:pos="0"/>
      </w:tabs>
      <w:spacing w:line="288" w:lineRule="auto"/>
      <w:ind w:left="0" w:firstLine="0"/>
      <w:jc w:val="left"/>
      <w:outlineLvl w:val="3"/>
    </w:pPr>
    <w:rPr>
      <w:rFonts w:ascii="Arial" w:hAnsi="Arial" w:eastAsia="宋体" w:cs="Arial"/>
      <w:b/>
      <w:bCs/>
      <w:snapToGrid w:val="0"/>
      <w:color w:val="000000"/>
      <w:kern w:val="2"/>
      <w:sz w:val="28"/>
      <w:szCs w:val="28"/>
    </w:rPr>
  </w:style>
  <w:style w:type="paragraph" w:styleId="9">
    <w:name w:val="heading 5"/>
    <w:basedOn w:val="1"/>
    <w:next w:val="1"/>
    <w:link w:val="20"/>
    <w:semiHidden/>
    <w:unhideWhenUsed/>
    <w:qFormat/>
    <w:uiPriority w:val="0"/>
    <w:pPr>
      <w:keepNext/>
      <w:keepLines/>
      <w:numPr>
        <w:ilvl w:val="4"/>
        <w:numId w:val="1"/>
      </w:numPr>
      <w:tabs>
        <w:tab w:val="left" w:pos="0"/>
      </w:tabs>
      <w:spacing w:beforeLines="0" w:beforeAutospacing="0" w:afterLines="0" w:afterAutospacing="0" w:line="240" w:lineRule="auto"/>
      <w:ind w:left="0" w:firstLine="0"/>
      <w:jc w:val="left"/>
      <w:outlineLvl w:val="4"/>
    </w:pPr>
    <w:rPr>
      <w:rFonts w:ascii="Arial" w:hAnsi="Arial" w:eastAsia="宋体" w:cs="Arial"/>
      <w:b/>
      <w:snapToGrid w:val="0"/>
      <w:color w:val="000000"/>
      <w:kern w:val="2"/>
      <w:sz w:val="21"/>
      <w:szCs w:val="21"/>
    </w:rPr>
  </w:style>
  <w:style w:type="paragraph" w:styleId="10">
    <w:name w:val="heading 6"/>
    <w:basedOn w:val="1"/>
    <w:next w:val="1"/>
    <w:semiHidden/>
    <w:unhideWhenUsed/>
    <w:qFormat/>
    <w:uiPriority w:val="0"/>
    <w:pPr>
      <w:keepNext/>
      <w:keepLines/>
      <w:numPr>
        <w:ilvl w:val="5"/>
        <w:numId w:val="1"/>
      </w:numPr>
      <w:tabs>
        <w:tab w:val="left" w:pos="0"/>
      </w:tabs>
      <w:spacing w:before="240" w:beforeLines="0" w:beforeAutospacing="0" w:after="64" w:afterLines="0" w:afterAutospacing="0" w:line="240" w:lineRule="auto"/>
      <w:ind w:firstLine="0"/>
      <w:outlineLvl w:val="5"/>
    </w:pPr>
    <w:rPr>
      <w:rFonts w:ascii="Arial" w:hAnsi="Arial" w:eastAsia="黑体" w:cs="Times New Roman"/>
      <w:b/>
      <w:kern w:val="2"/>
      <w:sz w:val="21"/>
      <w:szCs w:val="22"/>
    </w:rPr>
  </w:style>
  <w:style w:type="paragraph" w:styleId="11">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0"/>
      <w:outlineLvl w:val="6"/>
    </w:pPr>
    <w:rPr>
      <w:rFonts w:ascii="宋体" w:hAnsi="宋体" w:eastAsia="宋体" w:cs="Times New Roman"/>
      <w:b/>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Block Text"/>
    <w:basedOn w:val="1"/>
    <w:qFormat/>
    <w:uiPriority w:val="0"/>
    <w:pPr>
      <w:spacing w:after="120" w:afterLines="0" w:afterAutospacing="0"/>
      <w:ind w:left="1440" w:leftChars="700" w:rightChars="700"/>
    </w:pPr>
  </w:style>
  <w:style w:type="paragraph" w:styleId="14">
    <w:name w:val="Body Text First Indent"/>
    <w:basedOn w:val="12"/>
    <w:qFormat/>
    <w:uiPriority w:val="0"/>
    <w:pPr>
      <w:ind w:firstLine="420" w:firstLineChars="100"/>
    </w:pPr>
  </w:style>
  <w:style w:type="character" w:customStyle="1" w:styleId="17">
    <w:name w:val="标题 1 Char"/>
    <w:link w:val="4"/>
    <w:qFormat/>
    <w:uiPriority w:val="0"/>
    <w:rPr>
      <w:rFonts w:ascii="Calibri" w:hAnsi="Calibri" w:eastAsia="宋体" w:cs="Times New Roman"/>
      <w:b/>
      <w:snapToGrid w:val="0"/>
      <w:color w:val="000000"/>
      <w:kern w:val="44"/>
      <w:sz w:val="36"/>
      <w:szCs w:val="24"/>
      <w:lang w:eastAsia="en-US"/>
    </w:rPr>
  </w:style>
  <w:style w:type="character" w:customStyle="1" w:styleId="18">
    <w:name w:val="标题 2 Char"/>
    <w:link w:val="5"/>
    <w:qFormat/>
    <w:uiPriority w:val="0"/>
    <w:rPr>
      <w:rFonts w:ascii="Arial" w:hAnsi="Arial" w:eastAsia="宋体" w:cs="Times New Roman"/>
      <w:b/>
      <w:kern w:val="2"/>
      <w:sz w:val="32"/>
      <w:szCs w:val="24"/>
    </w:rPr>
  </w:style>
  <w:style w:type="character" w:customStyle="1" w:styleId="19">
    <w:name w:val="标题 3 Char1"/>
    <w:basedOn w:val="16"/>
    <w:link w:val="6"/>
    <w:qFormat/>
    <w:uiPriority w:val="0"/>
    <w:rPr>
      <w:rFonts w:ascii="Arial" w:hAnsi="Arial" w:eastAsia="宋体" w:cs="Arial"/>
      <w:b/>
      <w:snapToGrid w:val="0"/>
      <w:color w:val="000000"/>
      <w:kern w:val="2"/>
      <w:sz w:val="30"/>
      <w:szCs w:val="21"/>
    </w:rPr>
  </w:style>
  <w:style w:type="character" w:customStyle="1" w:styleId="20">
    <w:name w:val="标题 5 Char"/>
    <w:link w:val="9"/>
    <w:qFormat/>
    <w:uiPriority w:val="0"/>
    <w:rPr>
      <w:rFonts w:ascii="Arial" w:hAnsi="Arial" w:eastAsia="宋体" w:cs="Arial"/>
      <w:b/>
      <w:snapToGrid w:val="0"/>
      <w:color w:val="000000"/>
      <w:kern w:val="2"/>
      <w:sz w:val="21"/>
      <w:szCs w:val="21"/>
    </w:rPr>
  </w:style>
  <w:style w:type="character" w:customStyle="1" w:styleId="21">
    <w:name w:val="标题 4 Char"/>
    <w:link w:val="8"/>
    <w:qFormat/>
    <w:uiPriority w:val="0"/>
    <w:rPr>
      <w:rFonts w:ascii="Arial" w:hAnsi="Arial" w:eastAsia="宋体" w:cs="Arial"/>
      <w:b/>
      <w:bCs/>
      <w:snapToGrid w:val="0"/>
      <w:color w:val="000000"/>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2023-11-10T06:26:00Z</dcterms:created>
  <dc:creator>朱珂珂-科仪阳光检测</dc:creator>
  <cp:lastModifiedBy>科仪销售中心</cp:lastModifiedBy>
  <dcterms:modified xsi:type="dcterms:W3CDTF">2023-12-15T01:56:13Z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411BE1FF359141959AFFFF40AB4F5C8B_11</vt:lpwstr>
  </property>
</Properties>
</file>