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ind w:left="0" w:leftChars="0" w:firstLine="0" w:firstLineChars="0"/>
        <w:rPr>
          <w:rFonts w:hint="eastAsia" w:cs="Times New Roman"/>
          <w:kern w:val="2"/>
          <w:szCs w:val="28"/>
        </w:rPr>
      </w:pPr>
    </w:p>
    <w:p>
      <w:pPr>
        <w:pStyle w:val="2"/>
        <w:rPr>
          <w:rFonts w:hint="eastAsia"/>
        </w:rPr>
      </w:pPr>
    </w:p>
    <w:p>
      <w:pPr>
        <w:adjustRightInd/>
        <w:snapToGrid/>
        <w:rPr>
          <w:rFonts w:cs="Times New Roman"/>
          <w:kern w:val="2"/>
          <w:szCs w:val="28"/>
        </w:rPr>
      </w:pPr>
    </w:p>
    <w:p>
      <w:pPr>
        <w:adjustRightInd/>
        <w:snapToGrid/>
        <w:rPr>
          <w:rFonts w:cs="Times New Roman"/>
          <w:kern w:val="2"/>
          <w:szCs w:val="28"/>
        </w:rPr>
      </w:pPr>
    </w:p>
    <w:p>
      <w:pPr>
        <w:adjustRightInd/>
        <w:snapToGrid/>
        <w:rPr>
          <w:rFonts w:cs="Times New Roman"/>
          <w:kern w:val="2"/>
          <w:szCs w:val="28"/>
        </w:rPr>
      </w:pPr>
    </w:p>
    <w:p>
      <w:pPr>
        <w:tabs>
          <w:tab w:val="left" w:pos="3048"/>
        </w:tabs>
        <w:spacing w:line="820" w:lineRule="exact"/>
        <w:ind w:firstLine="0" w:firstLineChars="0"/>
        <w:jc w:val="center"/>
        <w:rPr>
          <w:rFonts w:eastAsia="方正小标宋简体" w:cs="Times New Roman"/>
          <w:color w:val="000000"/>
          <w:kern w:val="2"/>
          <w:sz w:val="52"/>
          <w:szCs w:val="44"/>
        </w:rPr>
      </w:pPr>
      <w:r>
        <w:rPr>
          <w:rFonts w:eastAsia="方正小标宋简体" w:cs="Times New Roman"/>
          <w:color w:val="000000"/>
          <w:kern w:val="2"/>
          <w:sz w:val="52"/>
          <w:szCs w:val="44"/>
        </w:rPr>
        <w:t>神木市国民经济和社会发展</w:t>
      </w:r>
    </w:p>
    <w:p>
      <w:pPr>
        <w:tabs>
          <w:tab w:val="left" w:pos="3048"/>
        </w:tabs>
        <w:spacing w:line="820" w:lineRule="exact"/>
        <w:ind w:firstLine="0" w:firstLineChars="0"/>
        <w:jc w:val="center"/>
        <w:rPr>
          <w:rFonts w:hint="eastAsia" w:eastAsia="方正小标宋简体" w:cs="Times New Roman"/>
          <w:color w:val="000000"/>
          <w:kern w:val="2"/>
          <w:sz w:val="52"/>
          <w:szCs w:val="44"/>
          <w:lang w:val="en-US" w:eastAsia="zh-CN"/>
        </w:rPr>
      </w:pPr>
      <w:r>
        <w:rPr>
          <w:rFonts w:eastAsia="方正小标宋简体" w:cs="Times New Roman"/>
          <w:color w:val="000000"/>
          <w:kern w:val="2"/>
          <w:sz w:val="52"/>
          <w:szCs w:val="44"/>
        </w:rPr>
        <w:t>第十四个五年规划</w:t>
      </w:r>
      <w:r>
        <w:rPr>
          <w:rFonts w:hint="eastAsia" w:eastAsia="方正小标宋简体" w:cs="Times New Roman"/>
          <w:color w:val="000000"/>
          <w:kern w:val="2"/>
          <w:sz w:val="52"/>
          <w:szCs w:val="44"/>
          <w:lang w:eastAsia="zh-CN"/>
        </w:rPr>
        <w:t>和二</w:t>
      </w:r>
      <w:r>
        <w:rPr>
          <w:rFonts w:hint="eastAsia" w:eastAsia="方正小标宋简体" w:cs="Times New Roman"/>
          <w:color w:val="000000"/>
          <w:kern w:val="2"/>
          <w:sz w:val="52"/>
          <w:szCs w:val="44"/>
          <w:lang w:val="en-US" w:eastAsia="zh-CN"/>
        </w:rPr>
        <w:t>O三五年</w:t>
      </w:r>
    </w:p>
    <w:p>
      <w:pPr>
        <w:tabs>
          <w:tab w:val="left" w:pos="3048"/>
        </w:tabs>
        <w:spacing w:line="820" w:lineRule="exact"/>
        <w:ind w:firstLine="0" w:firstLineChars="0"/>
        <w:jc w:val="center"/>
        <w:rPr>
          <w:rFonts w:eastAsia="方正小标宋简体" w:cs="Times New Roman"/>
          <w:color w:val="000000"/>
          <w:kern w:val="2"/>
          <w:sz w:val="52"/>
          <w:szCs w:val="44"/>
        </w:rPr>
      </w:pPr>
      <w:r>
        <w:rPr>
          <w:rFonts w:hint="eastAsia" w:eastAsia="方正小标宋简体" w:cs="Times New Roman"/>
          <w:color w:val="000000"/>
          <w:kern w:val="2"/>
          <w:sz w:val="52"/>
          <w:szCs w:val="44"/>
          <w:lang w:val="en-US" w:eastAsia="zh-CN"/>
        </w:rPr>
        <w:t>远景目标</w:t>
      </w:r>
      <w:r>
        <w:rPr>
          <w:rFonts w:eastAsia="方正小标宋简体" w:cs="Times New Roman"/>
          <w:color w:val="000000"/>
          <w:kern w:val="2"/>
          <w:sz w:val="52"/>
          <w:szCs w:val="44"/>
        </w:rPr>
        <w:t>纲要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eastAsia="楷体" w:cs="Times New Roman"/>
          <w:color w:val="000000"/>
          <w:sz w:val="36"/>
          <w:szCs w:val="36"/>
          <w:lang w:val="en-US" w:eastAsia="zh-CN"/>
        </w:rPr>
      </w:pPr>
      <w:r>
        <w:rPr>
          <w:rFonts w:hint="eastAsia" w:ascii="Times New Roman" w:hAnsi="Times New Roman" w:eastAsia="楷体" w:cs="Times New Roman"/>
          <w:color w:val="000000"/>
          <w:sz w:val="36"/>
          <w:szCs w:val="36"/>
          <w:lang w:val="en-US" w:eastAsia="zh-CN"/>
        </w:rPr>
        <w:t>（</w:t>
      </w:r>
      <w:r>
        <w:rPr>
          <w:rFonts w:hint="default" w:ascii="Times New Roman" w:hAnsi="Times New Roman" w:eastAsia="楷体" w:cs="Times New Roman"/>
          <w:color w:val="000000"/>
          <w:sz w:val="36"/>
          <w:szCs w:val="36"/>
          <w:lang w:val="en-US" w:eastAsia="zh-CN"/>
        </w:rPr>
        <w:t>20</w:t>
      </w:r>
      <w:r>
        <w:rPr>
          <w:rFonts w:hint="eastAsia" w:ascii="Times New Roman" w:hAnsi="Times New Roman" w:eastAsia="楷体" w:cs="Times New Roman"/>
          <w:color w:val="000000"/>
          <w:sz w:val="36"/>
          <w:szCs w:val="36"/>
          <w:lang w:val="en-US" w:eastAsia="zh-CN"/>
        </w:rPr>
        <w:t>21</w:t>
      </w:r>
      <w:r>
        <w:rPr>
          <w:rFonts w:hint="default" w:ascii="Times New Roman" w:hAnsi="Times New Roman" w:eastAsia="楷体" w:cs="Times New Roman"/>
          <w:color w:val="000000"/>
          <w:sz w:val="36"/>
          <w:szCs w:val="36"/>
          <w:lang w:val="en-US" w:eastAsia="zh-CN"/>
        </w:rPr>
        <w:t>年</w:t>
      </w:r>
      <w:r>
        <w:rPr>
          <w:rFonts w:hint="eastAsia" w:eastAsia="楷体" w:cs="Times New Roman"/>
          <w:color w:val="000000"/>
          <w:sz w:val="36"/>
          <w:szCs w:val="36"/>
          <w:lang w:val="en-US" w:eastAsia="zh-CN"/>
        </w:rPr>
        <w:t>2月22日神木市第一届人民代表大会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楷体" w:cs="Times New Roman"/>
          <w:color w:val="000000"/>
          <w:sz w:val="36"/>
          <w:szCs w:val="36"/>
          <w:lang w:val="en-US" w:eastAsia="zh-CN"/>
        </w:rPr>
      </w:pPr>
      <w:r>
        <w:rPr>
          <w:rFonts w:hint="eastAsia" w:eastAsia="楷体" w:cs="Times New Roman"/>
          <w:color w:val="000000"/>
          <w:sz w:val="36"/>
          <w:szCs w:val="36"/>
          <w:lang w:val="en-US" w:eastAsia="zh-CN"/>
        </w:rPr>
        <w:t>第六次会议第三次全体代表会议通过</w:t>
      </w:r>
      <w:r>
        <w:rPr>
          <w:rFonts w:hint="eastAsia" w:ascii="Times New Roman" w:hAnsi="Times New Roman" w:eastAsia="楷体" w:cs="Times New Roman"/>
          <w:color w:val="000000"/>
          <w:sz w:val="36"/>
          <w:szCs w:val="36"/>
          <w:lang w:val="en-US" w:eastAsia="zh-CN"/>
        </w:rPr>
        <w:t>）</w: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tabs>
          <w:tab w:val="left" w:pos="3048"/>
        </w:tabs>
        <w:spacing w:line="620" w:lineRule="exact"/>
        <w:ind w:firstLine="0" w:firstLineChars="0"/>
        <w:jc w:val="center"/>
        <w:rPr>
          <w:rFonts w:hint="eastAsia" w:eastAsia="楷体" w:cs="Times New Roman"/>
          <w:bCs/>
          <w:color w:val="000000"/>
          <w:kern w:val="2"/>
          <w:sz w:val="32"/>
          <w:szCs w:val="32"/>
          <w:lang w:eastAsia="zh-CN"/>
        </w:rPr>
      </w:pPr>
      <w:r>
        <w:rPr>
          <w:rFonts w:eastAsia="楷体" w:cs="Times New Roman"/>
          <w:bCs/>
          <w:color w:val="000000"/>
          <w:kern w:val="2"/>
          <w:sz w:val="32"/>
          <w:szCs w:val="32"/>
        </w:rPr>
        <w:t>神木市</w:t>
      </w:r>
      <w:r>
        <w:rPr>
          <w:rFonts w:hint="eastAsia" w:eastAsia="楷体" w:cs="Times New Roman"/>
          <w:bCs/>
          <w:color w:val="000000"/>
          <w:kern w:val="2"/>
          <w:sz w:val="32"/>
          <w:szCs w:val="32"/>
          <w:lang w:eastAsia="zh-CN"/>
        </w:rPr>
        <w:t>人民政府</w:t>
      </w:r>
    </w:p>
    <w:p>
      <w:pPr>
        <w:tabs>
          <w:tab w:val="left" w:pos="3048"/>
        </w:tabs>
        <w:spacing w:line="620" w:lineRule="exact"/>
        <w:ind w:firstLine="0" w:firstLineChars="0"/>
        <w:jc w:val="center"/>
        <w:rPr>
          <w:rFonts w:hint="default" w:eastAsia="楷体" w:cs="Times New Roman"/>
          <w:bCs/>
          <w:color w:val="000000"/>
          <w:kern w:val="2"/>
          <w:sz w:val="32"/>
          <w:szCs w:val="32"/>
          <w:lang w:val="en-US" w:eastAsia="zh-CN"/>
        </w:rPr>
      </w:pPr>
      <w:r>
        <w:rPr>
          <w:rFonts w:eastAsia="楷体" w:cs="Times New Roman"/>
          <w:bCs/>
          <w:color w:val="000000"/>
          <w:kern w:val="2"/>
          <w:sz w:val="32"/>
          <w:szCs w:val="32"/>
        </w:rPr>
        <w:t>202</w:t>
      </w:r>
      <w:r>
        <w:rPr>
          <w:rFonts w:hint="eastAsia" w:eastAsia="楷体" w:cs="Times New Roman"/>
          <w:bCs/>
          <w:color w:val="000000"/>
          <w:kern w:val="2"/>
          <w:sz w:val="32"/>
          <w:szCs w:val="32"/>
          <w:lang w:val="en-US" w:eastAsia="zh-CN"/>
        </w:rPr>
        <w:t>1</w:t>
      </w:r>
      <w:r>
        <w:rPr>
          <w:rFonts w:eastAsia="楷体" w:cs="Times New Roman"/>
          <w:bCs/>
          <w:color w:val="000000"/>
          <w:kern w:val="2"/>
          <w:sz w:val="32"/>
          <w:szCs w:val="32"/>
        </w:rPr>
        <w:t>年</w:t>
      </w:r>
      <w:r>
        <w:rPr>
          <w:rFonts w:hint="eastAsia" w:eastAsia="楷体" w:cs="Times New Roman"/>
          <w:bCs/>
          <w:color w:val="000000"/>
          <w:kern w:val="2"/>
          <w:sz w:val="32"/>
          <w:szCs w:val="32"/>
          <w:lang w:val="en-US" w:eastAsia="zh-CN"/>
        </w:rPr>
        <w:t>5</w:t>
      </w:r>
      <w:r>
        <w:rPr>
          <w:rFonts w:eastAsia="楷体" w:cs="Times New Roman"/>
          <w:bCs/>
          <w:color w:val="000000"/>
          <w:kern w:val="2"/>
          <w:sz w:val="32"/>
          <w:szCs w:val="32"/>
        </w:rPr>
        <w:t>月</w:t>
      </w:r>
    </w:p>
    <w:p>
      <w:pPr>
        <w:rPr>
          <w:rFonts w:cs="Times New Roman"/>
        </w:rPr>
      </w:pPr>
    </w:p>
    <w:p>
      <w:pPr>
        <w:pStyle w:val="10"/>
        <w:rPr>
          <w:rFonts w:cs="Times New Roman"/>
        </w:rPr>
      </w:pPr>
    </w:p>
    <w:p>
      <w:pPr>
        <w:rPr>
          <w:rFonts w:cs="Times New Roman"/>
        </w:rPr>
      </w:pPr>
    </w:p>
    <w:p>
      <w:pPr>
        <w:pStyle w:val="10"/>
        <w:rPr>
          <w:rFonts w:cs="Times New Roman"/>
        </w:rPr>
      </w:pPr>
    </w:p>
    <w:p>
      <w:pPr>
        <w:rPr>
          <w:rFonts w:cs="Times New Roman"/>
        </w:rPr>
      </w:pPr>
    </w:p>
    <w:p>
      <w:pPr>
        <w:pStyle w:val="1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sdt>
      <w:sdtPr>
        <w:rPr>
          <w:rFonts w:eastAsia="宋体" w:cs="Times New Roman"/>
          <w:b/>
          <w:bCs/>
          <w:sz w:val="44"/>
          <w:szCs w:val="44"/>
        </w:rPr>
        <w:id w:val="147482788"/>
        <w15:color w:val="DBDBDB"/>
        <w:docPartObj>
          <w:docPartGallery w:val="Table of Contents"/>
          <w:docPartUnique/>
        </w:docPartObj>
      </w:sdtPr>
      <w:sdtEndPr>
        <w:rPr>
          <w:rFonts w:eastAsia="仿宋_GB2312" w:cs="Times New Roman"/>
          <w:b/>
          <w:bCs/>
          <w:sz w:val="28"/>
          <w:szCs w:val="22"/>
        </w:rPr>
      </w:sdtEndPr>
      <w:sdtContent>
        <w:p>
          <w:pPr>
            <w:spacing w:line="240" w:lineRule="auto"/>
            <w:ind w:firstLine="0" w:firstLineChars="0"/>
            <w:jc w:val="center"/>
            <w:rPr>
              <w:rFonts w:cs="Times New Roman"/>
              <w:b/>
              <w:bCs/>
              <w:sz w:val="44"/>
              <w:szCs w:val="44"/>
            </w:rPr>
          </w:pPr>
          <w:r>
            <w:rPr>
              <w:rFonts w:hint="eastAsia" w:eastAsia="宋体" w:cs="Times New Roman"/>
              <w:b/>
              <w:bCs/>
              <w:sz w:val="44"/>
              <w:szCs w:val="44"/>
              <w:lang w:val="en-US" w:eastAsia="zh-CN"/>
            </w:rPr>
            <w:t>目</w:t>
          </w:r>
          <w:r>
            <w:rPr>
              <w:rFonts w:eastAsia="宋体" w:cs="Times New Roman"/>
              <w:b/>
              <w:bCs/>
              <w:sz w:val="44"/>
              <w:szCs w:val="44"/>
            </w:rPr>
            <w:t xml:space="preserve">  录</w:t>
          </w:r>
        </w:p>
        <w:p>
          <w:pPr>
            <w:pStyle w:val="19"/>
            <w:tabs>
              <w:tab w:val="right" w:leader="dot" w:pos="8306"/>
            </w:tabs>
          </w:pPr>
          <w:r>
            <w:rPr>
              <w:rFonts w:cs="Times New Roman"/>
              <w:sz w:val="32"/>
              <w:szCs w:val="32"/>
            </w:rPr>
            <w:fldChar w:fldCharType="begin"/>
          </w:r>
          <w:r>
            <w:rPr>
              <w:rFonts w:cs="Times New Roman"/>
              <w:sz w:val="32"/>
              <w:szCs w:val="32"/>
            </w:rPr>
            <w:instrText xml:space="preserve">TOC \o "1-2" \h \u </w:instrText>
          </w:r>
          <w:r>
            <w:rPr>
              <w:rFonts w:cs="Times New Roman"/>
              <w:sz w:val="32"/>
              <w:szCs w:val="32"/>
            </w:rPr>
            <w:fldChar w:fldCharType="separate"/>
          </w:r>
          <w:r>
            <w:rPr>
              <w:rFonts w:cs="Times New Roman"/>
              <w:szCs w:val="32"/>
            </w:rPr>
            <w:fldChar w:fldCharType="begin"/>
          </w:r>
          <w:r>
            <w:rPr>
              <w:rFonts w:cs="Times New Roman"/>
              <w:szCs w:val="32"/>
            </w:rPr>
            <w:instrText xml:space="preserve"> HYPERLINK \l _Toc27393 </w:instrText>
          </w:r>
          <w:r>
            <w:rPr>
              <w:rFonts w:cs="Times New Roman"/>
              <w:szCs w:val="32"/>
            </w:rPr>
            <w:fldChar w:fldCharType="separate"/>
          </w:r>
          <w:r>
            <w:rPr>
              <w:rFonts w:hint="eastAsia" w:ascii="方正小标宋简体" w:hAnsi="方正小标宋简体" w:eastAsia="方正小标宋简体" w:cs="方正小标宋简体"/>
              <w:kern w:val="2"/>
              <w:szCs w:val="44"/>
            </w:rPr>
            <w:t>前  言</w:t>
          </w:r>
          <w:r>
            <w:tab/>
          </w:r>
          <w:r>
            <w:fldChar w:fldCharType="begin"/>
          </w:r>
          <w:r>
            <w:instrText xml:space="preserve"> PAGEREF _Toc27393 \h </w:instrText>
          </w:r>
          <w:r>
            <w:fldChar w:fldCharType="separate"/>
          </w:r>
          <w:r>
            <w:t>- 1 -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_Toc10215 </w:instrText>
          </w:r>
          <w:r>
            <w:rPr>
              <w:rFonts w:cs="Times New Roman"/>
              <w:szCs w:val="32"/>
            </w:rPr>
            <w:fldChar w:fldCharType="separate"/>
          </w:r>
          <w:r>
            <w:rPr>
              <w:rFonts w:hint="eastAsia" w:ascii="方正小标宋简体" w:hAnsi="方正小标宋简体" w:eastAsia="方正小标宋简体" w:cs="方正小标宋简体"/>
              <w:w w:val="91"/>
              <w:szCs w:val="44"/>
            </w:rPr>
            <w:t xml:space="preserve">第一章 </w:t>
          </w:r>
          <w:r>
            <w:rPr>
              <w:rFonts w:hint="eastAsia" w:ascii="方正小标宋简体" w:hAnsi="方正小标宋简体" w:eastAsia="方正小标宋简体" w:cs="方正小标宋简体"/>
              <w:w w:val="91"/>
              <w:szCs w:val="44"/>
              <w:lang w:val="en-US" w:eastAsia="zh-CN"/>
            </w:rPr>
            <w:t>立足发展基础，开启神木现代化建设新征程</w:t>
          </w:r>
          <w:r>
            <w:tab/>
          </w:r>
          <w:r>
            <w:fldChar w:fldCharType="begin"/>
          </w:r>
          <w:r>
            <w:instrText xml:space="preserve"> PAGEREF _Toc10215 \h </w:instrText>
          </w:r>
          <w:r>
            <w:fldChar w:fldCharType="separate"/>
          </w:r>
          <w:r>
            <w:t>- 2 -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_Toc29883 </w:instrText>
          </w:r>
          <w:r>
            <w:rPr>
              <w:rFonts w:cs="Times New Roman"/>
              <w:szCs w:val="32"/>
            </w:rPr>
            <w:fldChar w:fldCharType="separate"/>
          </w:r>
          <w:r>
            <w:rPr>
              <w:rFonts w:hint="eastAsia" w:ascii="楷体_GB2312" w:hAnsi="楷体_GB2312" w:eastAsia="楷体_GB2312" w:cs="楷体_GB2312"/>
              <w:bCs/>
              <w:szCs w:val="32"/>
            </w:rPr>
            <w:t>第一节 “十三五”发展成就</w:t>
          </w:r>
          <w:r>
            <w:tab/>
          </w:r>
          <w:r>
            <w:fldChar w:fldCharType="begin"/>
          </w:r>
          <w:r>
            <w:instrText xml:space="preserve"> PAGEREF _Toc29883 \h </w:instrText>
          </w:r>
          <w:r>
            <w:fldChar w:fldCharType="separate"/>
          </w:r>
          <w:r>
            <w:t>- 2 -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_Toc19801 </w:instrText>
          </w:r>
          <w:r>
            <w:rPr>
              <w:rFonts w:cs="Times New Roman"/>
              <w:szCs w:val="32"/>
            </w:rPr>
            <w:fldChar w:fldCharType="separate"/>
          </w:r>
          <w:r>
            <w:rPr>
              <w:rFonts w:hint="eastAsia" w:ascii="楷体_GB2312" w:hAnsi="楷体_GB2312" w:eastAsia="楷体_GB2312" w:cs="楷体_GB2312"/>
              <w:bCs/>
              <w:szCs w:val="32"/>
            </w:rPr>
            <w:t>第二节 “十四五”发展环境</w:t>
          </w:r>
          <w:r>
            <w:tab/>
          </w:r>
          <w:r>
            <w:fldChar w:fldCharType="begin"/>
          </w:r>
          <w:r>
            <w:instrText xml:space="preserve"> PAGEREF _Toc19801 \h </w:instrText>
          </w:r>
          <w:r>
            <w:fldChar w:fldCharType="separate"/>
          </w:r>
          <w:r>
            <w:t>- 9 -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_Toc26908 </w:instrText>
          </w:r>
          <w:r>
            <w:rPr>
              <w:rFonts w:cs="Times New Roman"/>
              <w:szCs w:val="32"/>
            </w:rPr>
            <w:fldChar w:fldCharType="separate"/>
          </w:r>
          <w:r>
            <w:rPr>
              <w:rFonts w:ascii="Times New Roman" w:hAnsi="Times New Roman" w:eastAsia="方正小标宋简体" w:cs="Times New Roman"/>
              <w:w w:val="91"/>
              <w:szCs w:val="44"/>
            </w:rPr>
            <w:t xml:space="preserve">第二章 </w:t>
          </w:r>
          <w:r>
            <w:rPr>
              <w:rFonts w:hint="eastAsia" w:ascii="Times New Roman" w:hAnsi="Times New Roman" w:eastAsia="方正小标宋简体" w:cs="Times New Roman"/>
              <w:w w:val="91"/>
              <w:szCs w:val="44"/>
              <w:lang w:val="en-US" w:eastAsia="zh-CN"/>
            </w:rPr>
            <w:t>明确发展目标</w:t>
          </w:r>
          <w:r>
            <w:rPr>
              <w:rFonts w:hint="eastAsia" w:ascii="Times New Roman" w:hAnsi="Times New Roman" w:eastAsia="方正小标宋简体" w:cs="Times New Roman"/>
              <w:w w:val="91"/>
              <w:szCs w:val="44"/>
              <w:lang w:eastAsia="zh-CN"/>
            </w:rPr>
            <w:t>，</w:t>
          </w:r>
          <w:r>
            <w:rPr>
              <w:rFonts w:hint="eastAsia" w:ascii="Times New Roman" w:hAnsi="Times New Roman" w:eastAsia="方正小标宋简体" w:cs="Times New Roman"/>
              <w:w w:val="91"/>
              <w:szCs w:val="44"/>
              <w:lang w:val="en-US" w:eastAsia="zh-CN"/>
            </w:rPr>
            <w:t>谱写新时代追赶超越新篇章</w:t>
          </w:r>
          <w:r>
            <w:tab/>
          </w:r>
          <w:r>
            <w:fldChar w:fldCharType="begin"/>
          </w:r>
          <w:r>
            <w:instrText xml:space="preserve"> PAGEREF _Toc26908 \h </w:instrText>
          </w:r>
          <w:r>
            <w:fldChar w:fldCharType="separate"/>
          </w:r>
          <w:r>
            <w:t>- 16 -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_Toc15407 </w:instrText>
          </w:r>
          <w:r>
            <w:rPr>
              <w:rFonts w:cs="Times New Roman"/>
              <w:szCs w:val="32"/>
            </w:rPr>
            <w:fldChar w:fldCharType="separate"/>
          </w:r>
          <w:r>
            <w:rPr>
              <w:rFonts w:hint="eastAsia" w:ascii="楷体_GB2312" w:hAnsi="楷体_GB2312" w:eastAsia="楷体_GB2312" w:cs="楷体_GB2312"/>
              <w:bCs/>
              <w:szCs w:val="32"/>
            </w:rPr>
            <w:t>第一节 指导思想</w:t>
          </w:r>
          <w:r>
            <w:tab/>
          </w:r>
          <w:r>
            <w:fldChar w:fldCharType="begin"/>
          </w:r>
          <w:r>
            <w:instrText xml:space="preserve"> PAGEREF _Toc15407 \h </w:instrText>
          </w:r>
          <w:r>
            <w:fldChar w:fldCharType="separate"/>
          </w:r>
          <w:r>
            <w:t>- 16 -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_Toc19025 </w:instrText>
          </w:r>
          <w:r>
            <w:rPr>
              <w:rFonts w:cs="Times New Roman"/>
              <w:szCs w:val="32"/>
            </w:rPr>
            <w:fldChar w:fldCharType="separate"/>
          </w:r>
          <w:r>
            <w:rPr>
              <w:rFonts w:hint="eastAsia" w:ascii="楷体_GB2312" w:hAnsi="楷体_GB2312" w:eastAsia="楷体_GB2312" w:cs="楷体_GB2312"/>
              <w:bCs/>
              <w:szCs w:val="32"/>
            </w:rPr>
            <w:t>第二节 发展原则</w:t>
          </w:r>
          <w:r>
            <w:tab/>
          </w:r>
          <w:r>
            <w:fldChar w:fldCharType="begin"/>
          </w:r>
          <w:r>
            <w:instrText xml:space="preserve"> PAGEREF _Toc19025 \h </w:instrText>
          </w:r>
          <w:r>
            <w:fldChar w:fldCharType="separate"/>
          </w:r>
          <w:r>
            <w:t>- 16 -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_Toc23174 </w:instrText>
          </w:r>
          <w:r>
            <w:rPr>
              <w:rFonts w:cs="Times New Roman"/>
              <w:szCs w:val="32"/>
            </w:rPr>
            <w:fldChar w:fldCharType="separate"/>
          </w:r>
          <w:r>
            <w:rPr>
              <w:rFonts w:hint="eastAsia" w:ascii="楷体_GB2312" w:hAnsi="楷体_GB2312" w:eastAsia="楷体_GB2312" w:cs="楷体_GB2312"/>
              <w:bCs/>
              <w:szCs w:val="32"/>
            </w:rPr>
            <w:t>第三节 战略定位</w:t>
          </w:r>
          <w:r>
            <w:tab/>
          </w:r>
          <w:r>
            <w:fldChar w:fldCharType="begin"/>
          </w:r>
          <w:r>
            <w:instrText xml:space="preserve"> PAGEREF _Toc23174 \h </w:instrText>
          </w:r>
          <w:r>
            <w:fldChar w:fldCharType="separate"/>
          </w:r>
          <w:r>
            <w:t>- 17 -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_Toc18440 </w:instrText>
          </w:r>
          <w:r>
            <w:rPr>
              <w:rFonts w:cs="Times New Roman"/>
              <w:szCs w:val="32"/>
            </w:rPr>
            <w:fldChar w:fldCharType="separate"/>
          </w:r>
          <w:r>
            <w:rPr>
              <w:rFonts w:hint="eastAsia" w:ascii="楷体_GB2312" w:hAnsi="楷体_GB2312" w:eastAsia="楷体_GB2312" w:cs="楷体_GB2312"/>
              <w:bCs/>
              <w:szCs w:val="32"/>
            </w:rPr>
            <w:t>第四节 规划目标</w:t>
          </w:r>
          <w:r>
            <w:tab/>
          </w:r>
          <w:r>
            <w:fldChar w:fldCharType="begin"/>
          </w:r>
          <w:r>
            <w:instrText xml:space="preserve"> PAGEREF _Toc18440 \h </w:instrText>
          </w:r>
          <w:r>
            <w:fldChar w:fldCharType="separate"/>
          </w:r>
          <w:r>
            <w:t>- 19 -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_Toc31570 </w:instrText>
          </w:r>
          <w:r>
            <w:rPr>
              <w:rFonts w:cs="Times New Roman"/>
              <w:szCs w:val="32"/>
            </w:rPr>
            <w:fldChar w:fldCharType="separate"/>
          </w:r>
          <w:r>
            <w:rPr>
              <w:rFonts w:ascii="Times New Roman" w:hAnsi="Times New Roman" w:eastAsia="方正小标宋简体" w:cs="Times New Roman"/>
              <w:w w:val="85"/>
              <w:szCs w:val="44"/>
            </w:rPr>
            <w:t>第三章</w:t>
          </w:r>
          <w:r>
            <w:rPr>
              <w:rFonts w:hint="eastAsia" w:ascii="Times New Roman" w:hAnsi="Times New Roman" w:eastAsia="方正小标宋简体" w:cs="Times New Roman"/>
              <w:w w:val="85"/>
              <w:szCs w:val="44"/>
              <w:lang w:val="en-US" w:eastAsia="zh-CN"/>
            </w:rPr>
            <w:t xml:space="preserve"> 聚焦</w:t>
          </w:r>
          <w:r>
            <w:rPr>
              <w:rFonts w:ascii="Times New Roman" w:hAnsi="Times New Roman" w:eastAsia="方正小标宋简体" w:cs="Times New Roman"/>
              <w:w w:val="85"/>
              <w:szCs w:val="44"/>
            </w:rPr>
            <w:t>创新驱动，</w:t>
          </w:r>
          <w:r>
            <w:rPr>
              <w:rFonts w:hint="eastAsia" w:ascii="Times New Roman" w:hAnsi="Times New Roman" w:eastAsia="方正小标宋简体" w:cs="Times New Roman"/>
              <w:w w:val="85"/>
              <w:szCs w:val="44"/>
              <w:lang w:val="en-US" w:eastAsia="zh-CN"/>
            </w:rPr>
            <w:t>形成经济高质量发展新动力</w:t>
          </w:r>
          <w:r>
            <w:tab/>
          </w:r>
          <w:r>
            <w:fldChar w:fldCharType="begin"/>
          </w:r>
          <w:r>
            <w:instrText xml:space="preserve"> PAGEREF _Toc31570 \h </w:instrText>
          </w:r>
          <w:r>
            <w:fldChar w:fldCharType="separate"/>
          </w:r>
          <w:r>
            <w:t>- 21 -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_Toc11122 </w:instrText>
          </w:r>
          <w:r>
            <w:rPr>
              <w:rFonts w:cs="Times New Roman"/>
              <w:szCs w:val="32"/>
            </w:rPr>
            <w:fldChar w:fldCharType="separate"/>
          </w:r>
          <w:r>
            <w:rPr>
              <w:rFonts w:hint="eastAsia" w:ascii="楷体_GB2312" w:hAnsi="楷体_GB2312" w:eastAsia="楷体_GB2312" w:cs="楷体_GB2312"/>
              <w:bCs/>
              <w:szCs w:val="32"/>
            </w:rPr>
            <w:t>第一节 确立科技创新核心地位</w:t>
          </w:r>
          <w:r>
            <w:tab/>
          </w:r>
          <w:r>
            <w:fldChar w:fldCharType="begin"/>
          </w:r>
          <w:r>
            <w:instrText xml:space="preserve"> PAGEREF _Toc11122 \h </w:instrText>
          </w:r>
          <w:r>
            <w:fldChar w:fldCharType="separate"/>
          </w:r>
          <w:r>
            <w:t>- 21 -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_Toc17609 </w:instrText>
          </w:r>
          <w:r>
            <w:rPr>
              <w:rFonts w:cs="Times New Roman"/>
              <w:szCs w:val="32"/>
            </w:rPr>
            <w:fldChar w:fldCharType="separate"/>
          </w:r>
          <w:r>
            <w:rPr>
              <w:rFonts w:hint="eastAsia" w:eastAsia="楷体_GB2312" w:cs="Times New Roman"/>
              <w:bCs/>
              <w:szCs w:val="32"/>
            </w:rPr>
            <w:t>第二节 构建133N科技创新发展新格局</w:t>
          </w:r>
          <w:r>
            <w:tab/>
          </w:r>
          <w:r>
            <w:fldChar w:fldCharType="begin"/>
          </w:r>
          <w:r>
            <w:instrText xml:space="preserve"> PAGEREF _Toc17609 \h </w:instrText>
          </w:r>
          <w:r>
            <w:fldChar w:fldCharType="separate"/>
          </w:r>
          <w:r>
            <w:t>- 22 -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_Toc9364 </w:instrText>
          </w:r>
          <w:r>
            <w:rPr>
              <w:rFonts w:cs="Times New Roman"/>
              <w:szCs w:val="32"/>
            </w:rPr>
            <w:fldChar w:fldCharType="separate"/>
          </w:r>
          <w:r>
            <w:rPr>
              <w:rFonts w:hint="eastAsia" w:ascii="楷体_GB2312" w:hAnsi="楷体_GB2312" w:eastAsia="楷体_GB2312" w:cs="楷体_GB2312"/>
              <w:bCs/>
              <w:szCs w:val="32"/>
            </w:rPr>
            <w:t>第三节 强化企业创新主体地位</w:t>
          </w:r>
          <w:r>
            <w:tab/>
          </w:r>
          <w:r>
            <w:fldChar w:fldCharType="begin"/>
          </w:r>
          <w:r>
            <w:instrText xml:space="preserve"> PAGEREF _Toc9364 \h </w:instrText>
          </w:r>
          <w:r>
            <w:fldChar w:fldCharType="separate"/>
          </w:r>
          <w:r>
            <w:t>- 23 -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_Toc18163 </w:instrText>
          </w:r>
          <w:r>
            <w:rPr>
              <w:rFonts w:cs="Times New Roman"/>
              <w:szCs w:val="32"/>
            </w:rPr>
            <w:fldChar w:fldCharType="separate"/>
          </w:r>
          <w:r>
            <w:rPr>
              <w:rFonts w:hint="eastAsia" w:ascii="楷体_GB2312" w:hAnsi="楷体_GB2312" w:eastAsia="楷体_GB2312" w:cs="楷体_GB2312"/>
              <w:bCs/>
              <w:szCs w:val="32"/>
            </w:rPr>
            <w:t>第四节 加快建设人才强市</w:t>
          </w:r>
          <w:r>
            <w:tab/>
          </w:r>
          <w:r>
            <w:fldChar w:fldCharType="begin"/>
          </w:r>
          <w:r>
            <w:instrText xml:space="preserve"> PAGEREF _Toc18163 \h </w:instrText>
          </w:r>
          <w:r>
            <w:fldChar w:fldCharType="separate"/>
          </w:r>
          <w:r>
            <w:t>- 25 -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_Toc2818 </w:instrText>
          </w:r>
          <w:r>
            <w:rPr>
              <w:rFonts w:cs="Times New Roman"/>
              <w:szCs w:val="32"/>
            </w:rPr>
            <w:fldChar w:fldCharType="separate"/>
          </w:r>
          <w:r>
            <w:rPr>
              <w:rFonts w:ascii="Times New Roman" w:hAnsi="Times New Roman" w:eastAsia="方正小标宋简体" w:cs="Times New Roman"/>
              <w:w w:val="90"/>
              <w:szCs w:val="44"/>
            </w:rPr>
            <w:t>第四章 加快产业升级，构建</w:t>
          </w:r>
          <w:r>
            <w:rPr>
              <w:rFonts w:hint="eastAsia" w:ascii="Times New Roman" w:hAnsi="Times New Roman" w:eastAsia="方正小标宋简体" w:cs="Times New Roman"/>
              <w:w w:val="90"/>
              <w:szCs w:val="44"/>
              <w:lang w:val="en-US" w:eastAsia="zh-CN"/>
            </w:rPr>
            <w:t>高端低碳产业新</w:t>
          </w:r>
          <w:r>
            <w:rPr>
              <w:rFonts w:ascii="Times New Roman" w:hAnsi="Times New Roman" w:eastAsia="方正小标宋简体" w:cs="Times New Roman"/>
              <w:w w:val="90"/>
              <w:szCs w:val="44"/>
            </w:rPr>
            <w:t>体系</w:t>
          </w:r>
          <w:r>
            <w:tab/>
          </w:r>
          <w:r>
            <w:fldChar w:fldCharType="begin"/>
          </w:r>
          <w:r>
            <w:instrText xml:space="preserve"> PAGEREF _Toc2818 \h </w:instrText>
          </w:r>
          <w:r>
            <w:fldChar w:fldCharType="separate"/>
          </w:r>
          <w:r>
            <w:t>- 28 -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_Toc11266 </w:instrText>
          </w:r>
          <w:r>
            <w:rPr>
              <w:rFonts w:cs="Times New Roman"/>
              <w:szCs w:val="32"/>
            </w:rPr>
            <w:fldChar w:fldCharType="separate"/>
          </w:r>
          <w:r>
            <w:rPr>
              <w:rFonts w:hint="eastAsia" w:ascii="楷体_GB2312" w:hAnsi="楷体_GB2312" w:eastAsia="楷体_GB2312" w:cs="楷体_GB2312"/>
              <w:bCs/>
              <w:szCs w:val="32"/>
            </w:rPr>
            <w:t xml:space="preserve">第一节 </w:t>
          </w:r>
          <w:r>
            <w:rPr>
              <w:rFonts w:hint="eastAsia" w:ascii="楷体_GB2312" w:hAnsi="楷体_GB2312" w:eastAsia="楷体_GB2312" w:cs="楷体_GB2312"/>
              <w:bCs/>
              <w:szCs w:val="32"/>
              <w:lang w:val="en-US" w:eastAsia="zh-CN"/>
            </w:rPr>
            <w:t>提升能化产业发展水平</w:t>
          </w:r>
          <w:r>
            <w:tab/>
          </w:r>
          <w:r>
            <w:fldChar w:fldCharType="begin"/>
          </w:r>
          <w:r>
            <w:instrText xml:space="preserve"> PAGEREF _Toc11266 \h </w:instrText>
          </w:r>
          <w:r>
            <w:fldChar w:fldCharType="separate"/>
          </w:r>
          <w:r>
            <w:t>- 28 -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_Toc30060 </w:instrText>
          </w:r>
          <w:r>
            <w:rPr>
              <w:rFonts w:cs="Times New Roman"/>
              <w:szCs w:val="32"/>
            </w:rPr>
            <w:fldChar w:fldCharType="separate"/>
          </w:r>
          <w:r>
            <w:rPr>
              <w:rFonts w:hint="eastAsia" w:ascii="楷体_GB2312" w:hAnsi="楷体_GB2312" w:eastAsia="楷体_GB2312" w:cs="楷体_GB2312"/>
              <w:bCs/>
              <w:szCs w:val="32"/>
            </w:rPr>
            <w:t xml:space="preserve">第二节 </w:t>
          </w:r>
          <w:r>
            <w:rPr>
              <w:rFonts w:hint="eastAsia" w:ascii="楷体_GB2312" w:hAnsi="楷体_GB2312" w:eastAsia="楷体_GB2312" w:cs="楷体_GB2312"/>
              <w:bCs/>
              <w:szCs w:val="32"/>
              <w:lang w:val="en-US" w:eastAsia="zh-CN"/>
            </w:rPr>
            <w:t>培育壮大接续产业</w:t>
          </w:r>
          <w:r>
            <w:tab/>
          </w:r>
          <w:r>
            <w:fldChar w:fldCharType="begin"/>
          </w:r>
          <w:r>
            <w:instrText xml:space="preserve"> PAGEREF _Toc30060 \h </w:instrText>
          </w:r>
          <w:r>
            <w:fldChar w:fldCharType="separate"/>
          </w:r>
          <w:r>
            <w:t>- 29 -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_Toc30750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val="en-US" w:eastAsia="zh-CN"/>
            </w:rPr>
            <w:t>三</w:t>
          </w:r>
          <w:r>
            <w:rPr>
              <w:rFonts w:hint="eastAsia" w:ascii="楷体_GB2312" w:hAnsi="楷体_GB2312" w:eastAsia="楷体_GB2312" w:cs="楷体_GB2312"/>
              <w:bCs/>
              <w:szCs w:val="32"/>
            </w:rPr>
            <w:t xml:space="preserve">节 </w:t>
          </w:r>
          <w:r>
            <w:rPr>
              <w:rFonts w:hint="eastAsia" w:ascii="楷体_GB2312" w:hAnsi="楷体_GB2312" w:eastAsia="楷体_GB2312" w:cs="楷体_GB2312"/>
              <w:bCs/>
              <w:szCs w:val="32"/>
              <w:lang w:val="en-US" w:eastAsia="zh-CN"/>
            </w:rPr>
            <w:t>大力引进新兴产业</w:t>
          </w:r>
          <w:r>
            <w:tab/>
          </w:r>
          <w:r>
            <w:fldChar w:fldCharType="begin"/>
          </w:r>
          <w:r>
            <w:instrText xml:space="preserve"> PAGEREF _Toc30750 \h </w:instrText>
          </w:r>
          <w:r>
            <w:fldChar w:fldCharType="separate"/>
          </w:r>
          <w:r>
            <w:t>- 31 -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_Toc26285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val="en-US" w:eastAsia="zh-CN"/>
            </w:rPr>
            <w:t>四</w:t>
          </w:r>
          <w:r>
            <w:rPr>
              <w:rFonts w:hint="eastAsia" w:ascii="楷体_GB2312" w:hAnsi="楷体_GB2312" w:eastAsia="楷体_GB2312" w:cs="楷体_GB2312"/>
              <w:bCs/>
              <w:szCs w:val="32"/>
            </w:rPr>
            <w:t>节 推进产业发展数字化</w:t>
          </w:r>
          <w:r>
            <w:tab/>
          </w:r>
          <w:r>
            <w:fldChar w:fldCharType="begin"/>
          </w:r>
          <w:r>
            <w:instrText xml:space="preserve"> PAGEREF _Toc26285 \h </w:instrText>
          </w:r>
          <w:r>
            <w:fldChar w:fldCharType="separate"/>
          </w:r>
          <w:r>
            <w:t>- 35 -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_Toc15551 </w:instrText>
          </w:r>
          <w:r>
            <w:rPr>
              <w:rFonts w:cs="Times New Roman"/>
              <w:szCs w:val="32"/>
            </w:rPr>
            <w:fldChar w:fldCharType="separate"/>
          </w:r>
          <w:r>
            <w:rPr>
              <w:rFonts w:ascii="Times New Roman" w:hAnsi="Times New Roman" w:eastAsia="方正小标宋简体" w:cs="Times New Roman"/>
              <w:w w:val="85"/>
              <w:szCs w:val="44"/>
            </w:rPr>
            <w:t>第五章 提升供给水平，</w:t>
          </w:r>
          <w:r>
            <w:rPr>
              <w:rFonts w:hint="eastAsia" w:ascii="Times New Roman" w:hAnsi="Times New Roman" w:eastAsia="方正小标宋简体" w:cs="Times New Roman"/>
              <w:w w:val="85"/>
              <w:szCs w:val="44"/>
              <w:lang w:val="en-US" w:eastAsia="zh-CN"/>
            </w:rPr>
            <w:t>融入国际国内</w:t>
          </w:r>
          <w:r>
            <w:rPr>
              <w:rFonts w:ascii="Times New Roman" w:hAnsi="Times New Roman" w:eastAsia="方正小标宋简体" w:cs="Times New Roman"/>
              <w:w w:val="85"/>
              <w:szCs w:val="44"/>
            </w:rPr>
            <w:t>双循环新格局</w:t>
          </w:r>
          <w:r>
            <w:tab/>
          </w:r>
          <w:r>
            <w:fldChar w:fldCharType="begin"/>
          </w:r>
          <w:r>
            <w:instrText xml:space="preserve"> PAGEREF _Toc15551 \h </w:instrText>
          </w:r>
          <w:r>
            <w:fldChar w:fldCharType="separate"/>
          </w:r>
          <w:r>
            <w:t>- 36 -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_Toc1084 </w:instrText>
          </w:r>
          <w:r>
            <w:rPr>
              <w:rFonts w:cs="Times New Roman"/>
              <w:szCs w:val="32"/>
            </w:rPr>
            <w:fldChar w:fldCharType="separate"/>
          </w:r>
          <w:r>
            <w:rPr>
              <w:rFonts w:hint="eastAsia" w:ascii="楷体_GB2312" w:hAnsi="楷体_GB2312" w:eastAsia="楷体_GB2312" w:cs="楷体_GB2312"/>
              <w:bCs/>
              <w:szCs w:val="32"/>
            </w:rPr>
            <w:t>第一节 扩大有效投资</w:t>
          </w:r>
          <w:r>
            <w:tab/>
          </w:r>
          <w:r>
            <w:fldChar w:fldCharType="begin"/>
          </w:r>
          <w:r>
            <w:instrText xml:space="preserve"> PAGEREF _Toc1084 \h </w:instrText>
          </w:r>
          <w:r>
            <w:fldChar w:fldCharType="separate"/>
          </w:r>
          <w:r>
            <w:t>- 36 -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_Toc987 </w:instrText>
          </w:r>
          <w:r>
            <w:rPr>
              <w:rFonts w:cs="Times New Roman"/>
              <w:szCs w:val="32"/>
            </w:rPr>
            <w:fldChar w:fldCharType="separate"/>
          </w:r>
          <w:r>
            <w:rPr>
              <w:rFonts w:hint="eastAsia" w:ascii="楷体_GB2312" w:hAnsi="楷体_GB2312" w:eastAsia="楷体_GB2312" w:cs="楷体_GB2312"/>
              <w:bCs/>
              <w:szCs w:val="32"/>
            </w:rPr>
            <w:t xml:space="preserve">第二节 </w:t>
          </w:r>
          <w:r>
            <w:rPr>
              <w:rFonts w:hint="eastAsia" w:ascii="楷体_GB2312" w:hAnsi="楷体_GB2312" w:eastAsia="楷体_GB2312" w:cs="楷体_GB2312"/>
              <w:bCs/>
              <w:szCs w:val="32"/>
              <w:lang w:eastAsia="zh-CN"/>
            </w:rPr>
            <w:t>加快新旧动能转换</w:t>
          </w:r>
          <w:r>
            <w:tab/>
          </w:r>
          <w:r>
            <w:fldChar w:fldCharType="begin"/>
          </w:r>
          <w:r>
            <w:instrText xml:space="preserve"> PAGEREF _Toc987 \h </w:instrText>
          </w:r>
          <w:r>
            <w:fldChar w:fldCharType="separate"/>
          </w:r>
          <w:r>
            <w:t>- 38 -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_Toc10539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三</w:t>
          </w:r>
          <w:r>
            <w:rPr>
              <w:rFonts w:hint="eastAsia" w:ascii="楷体_GB2312" w:hAnsi="楷体_GB2312" w:eastAsia="楷体_GB2312" w:cs="楷体_GB2312"/>
              <w:bCs/>
              <w:szCs w:val="32"/>
            </w:rPr>
            <w:t>节 持续服务国家能源安全战略</w:t>
          </w:r>
          <w:r>
            <w:tab/>
          </w:r>
          <w:r>
            <w:fldChar w:fldCharType="begin"/>
          </w:r>
          <w:r>
            <w:instrText xml:space="preserve"> PAGEREF _Toc10539 \h </w:instrText>
          </w:r>
          <w:r>
            <w:fldChar w:fldCharType="separate"/>
          </w:r>
          <w:r>
            <w:t>- 39 -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_Toc6504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四</w:t>
          </w:r>
          <w:r>
            <w:rPr>
              <w:rFonts w:hint="eastAsia" w:ascii="楷体_GB2312" w:hAnsi="楷体_GB2312" w:eastAsia="楷体_GB2312" w:cs="楷体_GB2312"/>
              <w:bCs/>
              <w:szCs w:val="32"/>
            </w:rPr>
            <w:t>节 满足更高层次的消费需求</w:t>
          </w:r>
          <w:r>
            <w:tab/>
          </w:r>
          <w:r>
            <w:fldChar w:fldCharType="begin"/>
          </w:r>
          <w:r>
            <w:instrText xml:space="preserve"> PAGEREF _Toc6504 \h </w:instrText>
          </w:r>
          <w:r>
            <w:fldChar w:fldCharType="separate"/>
          </w:r>
          <w:r>
            <w:t>- 40 -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_Toc536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五</w:t>
          </w:r>
          <w:r>
            <w:rPr>
              <w:rFonts w:hint="eastAsia" w:ascii="楷体_GB2312" w:hAnsi="楷体_GB2312" w:eastAsia="楷体_GB2312" w:cs="楷体_GB2312"/>
              <w:bCs/>
              <w:szCs w:val="32"/>
            </w:rPr>
            <w:t>节 扩大</w:t>
          </w:r>
          <w:r>
            <w:rPr>
              <w:rFonts w:hint="eastAsia" w:ascii="楷体_GB2312" w:hAnsi="楷体_GB2312" w:eastAsia="楷体_GB2312" w:cs="楷体_GB2312"/>
              <w:bCs/>
              <w:szCs w:val="32"/>
              <w:lang w:eastAsia="zh-CN"/>
            </w:rPr>
            <w:t>对外</w:t>
          </w:r>
          <w:r>
            <w:rPr>
              <w:rFonts w:hint="eastAsia" w:ascii="楷体_GB2312" w:hAnsi="楷体_GB2312" w:eastAsia="楷体_GB2312" w:cs="楷体_GB2312"/>
              <w:bCs/>
              <w:szCs w:val="32"/>
            </w:rPr>
            <w:t>开放水平</w:t>
          </w:r>
          <w:r>
            <w:tab/>
          </w:r>
          <w:r>
            <w:fldChar w:fldCharType="begin"/>
          </w:r>
          <w:r>
            <w:instrText xml:space="preserve"> PAGEREF _Toc536 \h </w:instrText>
          </w:r>
          <w:r>
            <w:fldChar w:fldCharType="separate"/>
          </w:r>
          <w:r>
            <w:t>- 41 -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_Toc19970 </w:instrText>
          </w:r>
          <w:r>
            <w:rPr>
              <w:rFonts w:cs="Times New Roman"/>
              <w:szCs w:val="32"/>
            </w:rPr>
            <w:fldChar w:fldCharType="separate"/>
          </w:r>
          <w:r>
            <w:rPr>
              <w:rFonts w:ascii="Times New Roman" w:hAnsi="Times New Roman" w:eastAsia="方正小标宋简体" w:cs="Times New Roman"/>
              <w:w w:val="85"/>
              <w:szCs w:val="44"/>
            </w:rPr>
            <w:t xml:space="preserve">第六章 </w:t>
          </w:r>
          <w:r>
            <w:rPr>
              <w:rFonts w:hint="eastAsia" w:ascii="Times New Roman" w:hAnsi="Times New Roman" w:eastAsia="方正小标宋简体" w:cs="Times New Roman"/>
              <w:w w:val="85"/>
              <w:szCs w:val="44"/>
            </w:rPr>
            <w:t>着力补齐短板</w:t>
          </w:r>
          <w:r>
            <w:rPr>
              <w:rFonts w:ascii="Times New Roman" w:hAnsi="Times New Roman" w:eastAsia="方正小标宋简体" w:cs="Times New Roman"/>
              <w:w w:val="85"/>
              <w:szCs w:val="44"/>
            </w:rPr>
            <w:t>，</w:t>
          </w:r>
          <w:r>
            <w:rPr>
              <w:rFonts w:hint="eastAsia" w:ascii="Times New Roman" w:hAnsi="Times New Roman" w:eastAsia="方正小标宋简体" w:cs="Times New Roman"/>
              <w:w w:val="85"/>
              <w:szCs w:val="44"/>
              <w:lang w:val="en-US" w:eastAsia="zh-CN"/>
            </w:rPr>
            <w:t>筑牢新型化</w:t>
          </w:r>
          <w:r>
            <w:rPr>
              <w:rFonts w:hint="eastAsia" w:ascii="Times New Roman" w:hAnsi="Times New Roman" w:eastAsia="方正小标宋简体" w:cs="Times New Roman"/>
              <w:w w:val="85"/>
              <w:szCs w:val="44"/>
            </w:rPr>
            <w:t>基础设施</w:t>
          </w:r>
          <w:r>
            <w:rPr>
              <w:rFonts w:hint="eastAsia" w:ascii="Times New Roman" w:hAnsi="Times New Roman" w:eastAsia="方正小标宋简体" w:cs="Times New Roman"/>
              <w:w w:val="85"/>
              <w:szCs w:val="44"/>
              <w:lang w:val="en-US" w:eastAsia="zh-CN"/>
            </w:rPr>
            <w:t>新支撑</w:t>
          </w:r>
          <w:r>
            <w:tab/>
          </w:r>
          <w:r>
            <w:fldChar w:fldCharType="begin"/>
          </w:r>
          <w:r>
            <w:instrText xml:space="preserve"> PAGEREF _Toc19970 \h </w:instrText>
          </w:r>
          <w:r>
            <w:fldChar w:fldCharType="separate"/>
          </w:r>
          <w:r>
            <w:t>- 43 -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_Toc450 </w:instrText>
          </w:r>
          <w:r>
            <w:rPr>
              <w:rFonts w:cs="Times New Roman"/>
              <w:szCs w:val="32"/>
            </w:rPr>
            <w:fldChar w:fldCharType="separate"/>
          </w:r>
          <w:r>
            <w:rPr>
              <w:rFonts w:hint="eastAsia" w:ascii="楷体_GB2312" w:hAnsi="楷体_GB2312" w:eastAsia="楷体_GB2312" w:cs="楷体_GB2312"/>
              <w:bCs/>
              <w:szCs w:val="32"/>
            </w:rPr>
            <w:t>第一节 加快构建综合交通运输体系</w:t>
          </w:r>
          <w:r>
            <w:tab/>
          </w:r>
          <w:r>
            <w:fldChar w:fldCharType="begin"/>
          </w:r>
          <w:r>
            <w:instrText xml:space="preserve"> PAGEREF _Toc450 \h </w:instrText>
          </w:r>
          <w:r>
            <w:fldChar w:fldCharType="separate"/>
          </w:r>
          <w:r>
            <w:t>- 43 -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_Toc25529 </w:instrText>
          </w:r>
          <w:r>
            <w:rPr>
              <w:rFonts w:cs="Times New Roman"/>
              <w:szCs w:val="32"/>
            </w:rPr>
            <w:fldChar w:fldCharType="separate"/>
          </w:r>
          <w:r>
            <w:rPr>
              <w:rFonts w:hint="eastAsia" w:ascii="楷体_GB2312" w:hAnsi="楷体_GB2312" w:eastAsia="楷体_GB2312" w:cs="楷体_GB2312"/>
              <w:bCs/>
              <w:szCs w:val="32"/>
            </w:rPr>
            <w:t>第二节 提升水资源保障能力</w:t>
          </w:r>
          <w:r>
            <w:tab/>
          </w:r>
          <w:r>
            <w:fldChar w:fldCharType="begin"/>
          </w:r>
          <w:r>
            <w:instrText xml:space="preserve"> PAGEREF _Toc25529 \h </w:instrText>
          </w:r>
          <w:r>
            <w:fldChar w:fldCharType="separate"/>
          </w:r>
          <w:r>
            <w:t>- 44 -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_Toc15132 </w:instrText>
          </w:r>
          <w:r>
            <w:rPr>
              <w:rFonts w:cs="Times New Roman"/>
              <w:szCs w:val="32"/>
            </w:rPr>
            <w:fldChar w:fldCharType="separate"/>
          </w:r>
          <w:r>
            <w:rPr>
              <w:rFonts w:hint="eastAsia" w:ascii="楷体_GB2312" w:hAnsi="楷体_GB2312" w:eastAsia="楷体_GB2312" w:cs="楷体_GB2312"/>
              <w:bCs/>
              <w:szCs w:val="32"/>
            </w:rPr>
            <w:t>第三节 建设现代高效能源输配储网络</w:t>
          </w:r>
          <w:r>
            <w:tab/>
          </w:r>
          <w:r>
            <w:fldChar w:fldCharType="begin"/>
          </w:r>
          <w:r>
            <w:instrText xml:space="preserve"> PAGEREF _Toc15132 \h </w:instrText>
          </w:r>
          <w:r>
            <w:fldChar w:fldCharType="separate"/>
          </w:r>
          <w:r>
            <w:t>- 45 -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_Toc7760 </w:instrText>
          </w:r>
          <w:r>
            <w:rPr>
              <w:rFonts w:cs="Times New Roman"/>
              <w:szCs w:val="32"/>
            </w:rPr>
            <w:fldChar w:fldCharType="separate"/>
          </w:r>
          <w:r>
            <w:rPr>
              <w:rFonts w:hint="eastAsia" w:ascii="楷体_GB2312" w:hAnsi="楷体_GB2312" w:eastAsia="楷体_GB2312" w:cs="楷体_GB2312"/>
              <w:bCs/>
              <w:szCs w:val="32"/>
            </w:rPr>
            <w:t>第四节 完善园区镇街基础设施</w:t>
          </w:r>
          <w:r>
            <w:tab/>
          </w:r>
          <w:r>
            <w:fldChar w:fldCharType="begin"/>
          </w:r>
          <w:r>
            <w:instrText xml:space="preserve"> PAGEREF _Toc7760 \h </w:instrText>
          </w:r>
          <w:r>
            <w:fldChar w:fldCharType="separate"/>
          </w:r>
          <w:r>
            <w:t>- 46 -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_Toc21773 </w:instrText>
          </w:r>
          <w:r>
            <w:rPr>
              <w:rFonts w:cs="Times New Roman"/>
              <w:szCs w:val="32"/>
            </w:rPr>
            <w:fldChar w:fldCharType="separate"/>
          </w:r>
          <w:r>
            <w:rPr>
              <w:rFonts w:hint="eastAsia" w:ascii="楷体_GB2312" w:hAnsi="楷体_GB2312" w:eastAsia="楷体_GB2312" w:cs="楷体_GB2312"/>
              <w:bCs/>
              <w:szCs w:val="32"/>
            </w:rPr>
            <w:t>第五节 加强新型基础设施建设</w:t>
          </w:r>
          <w:r>
            <w:tab/>
          </w:r>
          <w:r>
            <w:fldChar w:fldCharType="begin"/>
          </w:r>
          <w:r>
            <w:instrText xml:space="preserve"> PAGEREF _Toc21773 \h </w:instrText>
          </w:r>
          <w:r>
            <w:fldChar w:fldCharType="separate"/>
          </w:r>
          <w:r>
            <w:t>- 47 -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_Toc31349 </w:instrText>
          </w:r>
          <w:r>
            <w:rPr>
              <w:rFonts w:cs="Times New Roman"/>
              <w:szCs w:val="32"/>
            </w:rPr>
            <w:fldChar w:fldCharType="separate"/>
          </w:r>
          <w:r>
            <w:rPr>
              <w:rFonts w:ascii="Times New Roman" w:hAnsi="Times New Roman" w:eastAsia="方正小标宋简体" w:cs="Times New Roman"/>
              <w:w w:val="85"/>
              <w:szCs w:val="44"/>
            </w:rPr>
            <w:t xml:space="preserve">第七章 </w:t>
          </w:r>
          <w:r>
            <w:rPr>
              <w:rFonts w:hint="eastAsia" w:ascii="Times New Roman" w:hAnsi="Times New Roman" w:eastAsia="方正小标宋简体" w:cs="Times New Roman"/>
              <w:w w:val="85"/>
              <w:szCs w:val="44"/>
              <w:lang w:val="en-US" w:eastAsia="zh-CN"/>
            </w:rPr>
            <w:t>全面深化改革</w:t>
          </w:r>
          <w:r>
            <w:rPr>
              <w:rFonts w:hint="eastAsia" w:ascii="Times New Roman" w:hAnsi="Times New Roman" w:eastAsia="方正小标宋简体" w:cs="Times New Roman"/>
              <w:w w:val="85"/>
              <w:szCs w:val="44"/>
            </w:rPr>
            <w:t>，</w:t>
          </w:r>
          <w:r>
            <w:rPr>
              <w:rFonts w:hint="eastAsia" w:ascii="Times New Roman" w:hAnsi="Times New Roman" w:eastAsia="方正小标宋简体" w:cs="Times New Roman"/>
              <w:w w:val="85"/>
              <w:szCs w:val="44"/>
              <w:lang w:val="en-US" w:eastAsia="zh-CN"/>
            </w:rPr>
            <w:t>释放体制机制变革的新红利</w:t>
          </w:r>
          <w:r>
            <w:tab/>
          </w:r>
          <w:r>
            <w:fldChar w:fldCharType="begin"/>
          </w:r>
          <w:r>
            <w:instrText xml:space="preserve"> PAGEREF _Toc31349 \h </w:instrText>
          </w:r>
          <w:r>
            <w:fldChar w:fldCharType="separate"/>
          </w:r>
          <w:r>
            <w:t>- 49 -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_Toc11599 </w:instrText>
          </w:r>
          <w:r>
            <w:rPr>
              <w:rFonts w:cs="Times New Roman"/>
              <w:szCs w:val="32"/>
            </w:rPr>
            <w:fldChar w:fldCharType="separate"/>
          </w:r>
          <w:r>
            <w:rPr>
              <w:rFonts w:hint="eastAsia" w:ascii="楷体_GB2312" w:hAnsi="楷体_GB2312" w:eastAsia="楷体_GB2312" w:cs="楷体_GB2312"/>
              <w:bCs/>
              <w:szCs w:val="32"/>
            </w:rPr>
            <w:t>第一节 推动国资国企改革</w:t>
          </w:r>
          <w:r>
            <w:tab/>
          </w:r>
          <w:r>
            <w:fldChar w:fldCharType="begin"/>
          </w:r>
          <w:r>
            <w:instrText xml:space="preserve"> PAGEREF _Toc11599 \h </w:instrText>
          </w:r>
          <w:r>
            <w:fldChar w:fldCharType="separate"/>
          </w:r>
          <w:r>
            <w:t>- 49 -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_Toc27579 </w:instrText>
          </w:r>
          <w:r>
            <w:rPr>
              <w:rFonts w:cs="Times New Roman"/>
              <w:szCs w:val="32"/>
            </w:rPr>
            <w:fldChar w:fldCharType="separate"/>
          </w:r>
          <w:r>
            <w:rPr>
              <w:rFonts w:hint="eastAsia" w:ascii="楷体_GB2312" w:hAnsi="楷体_GB2312" w:eastAsia="楷体_GB2312" w:cs="楷体_GB2312"/>
              <w:bCs/>
              <w:szCs w:val="32"/>
            </w:rPr>
            <w:t xml:space="preserve">第二节 </w:t>
          </w:r>
          <w:r>
            <w:rPr>
              <w:rFonts w:hint="eastAsia" w:ascii="楷体_GB2312" w:hAnsi="楷体_GB2312" w:eastAsia="楷体_GB2312" w:cs="楷体_GB2312"/>
              <w:bCs/>
              <w:szCs w:val="32"/>
              <w:lang w:eastAsia="zh-CN"/>
            </w:rPr>
            <w:t>推进资源要素市场化改革</w:t>
          </w:r>
          <w:r>
            <w:tab/>
          </w:r>
          <w:r>
            <w:fldChar w:fldCharType="begin"/>
          </w:r>
          <w:r>
            <w:instrText xml:space="preserve"> PAGEREF _Toc27579 \h </w:instrText>
          </w:r>
          <w:r>
            <w:fldChar w:fldCharType="separate"/>
          </w:r>
          <w:r>
            <w:t>- 50 -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_Toc11005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三</w:t>
          </w:r>
          <w:r>
            <w:rPr>
              <w:rFonts w:hint="eastAsia" w:ascii="楷体_GB2312" w:hAnsi="楷体_GB2312" w:eastAsia="楷体_GB2312" w:cs="楷体_GB2312"/>
              <w:bCs/>
              <w:szCs w:val="32"/>
            </w:rPr>
            <w:t>节 持续优化营商环境</w:t>
          </w:r>
          <w:r>
            <w:tab/>
          </w:r>
          <w:r>
            <w:fldChar w:fldCharType="begin"/>
          </w:r>
          <w:r>
            <w:instrText xml:space="preserve"> PAGEREF _Toc11005 \h </w:instrText>
          </w:r>
          <w:r>
            <w:fldChar w:fldCharType="separate"/>
          </w:r>
          <w:r>
            <w:t>- 50 -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_Toc16217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四</w:t>
          </w:r>
          <w:r>
            <w:rPr>
              <w:rFonts w:hint="eastAsia" w:ascii="楷体_GB2312" w:hAnsi="楷体_GB2312" w:eastAsia="楷体_GB2312" w:cs="楷体_GB2312"/>
              <w:bCs/>
              <w:szCs w:val="32"/>
            </w:rPr>
            <w:t>节 深入推进园区改革</w:t>
          </w:r>
          <w:r>
            <w:tab/>
          </w:r>
          <w:r>
            <w:fldChar w:fldCharType="begin"/>
          </w:r>
          <w:r>
            <w:instrText xml:space="preserve"> PAGEREF _Toc16217 \h </w:instrText>
          </w:r>
          <w:r>
            <w:fldChar w:fldCharType="separate"/>
          </w:r>
          <w:r>
            <w:t>- 51 -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_Toc1741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五</w:t>
          </w:r>
          <w:r>
            <w:rPr>
              <w:rFonts w:hint="eastAsia" w:ascii="楷体_GB2312" w:hAnsi="楷体_GB2312" w:eastAsia="楷体_GB2312" w:cs="楷体_GB2312"/>
              <w:bCs/>
              <w:szCs w:val="32"/>
            </w:rPr>
            <w:t>节 加快推动财税金融体制改革</w:t>
          </w:r>
          <w:r>
            <w:tab/>
          </w:r>
          <w:r>
            <w:fldChar w:fldCharType="begin"/>
          </w:r>
          <w:r>
            <w:instrText xml:space="preserve"> PAGEREF _Toc1741 \h </w:instrText>
          </w:r>
          <w:r>
            <w:fldChar w:fldCharType="separate"/>
          </w:r>
          <w:r>
            <w:t>- 52 -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_Toc29187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六</w:t>
          </w:r>
          <w:r>
            <w:rPr>
              <w:rFonts w:hint="eastAsia" w:ascii="楷体_GB2312" w:hAnsi="楷体_GB2312" w:eastAsia="楷体_GB2312" w:cs="楷体_GB2312"/>
              <w:bCs/>
              <w:szCs w:val="32"/>
            </w:rPr>
            <w:t>节 推动非公经济高质量发展</w:t>
          </w:r>
          <w:r>
            <w:tab/>
          </w:r>
          <w:r>
            <w:fldChar w:fldCharType="begin"/>
          </w:r>
          <w:r>
            <w:instrText xml:space="preserve"> PAGEREF _Toc29187 \h </w:instrText>
          </w:r>
          <w:r>
            <w:fldChar w:fldCharType="separate"/>
          </w:r>
          <w:r>
            <w:t>- 52 -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_Toc15901 </w:instrText>
          </w:r>
          <w:r>
            <w:rPr>
              <w:rFonts w:cs="Times New Roman"/>
              <w:szCs w:val="32"/>
            </w:rPr>
            <w:fldChar w:fldCharType="separate"/>
          </w:r>
          <w:r>
            <w:rPr>
              <w:rFonts w:ascii="Times New Roman" w:hAnsi="Times New Roman" w:eastAsia="方正小标宋简体" w:cs="Times New Roman"/>
              <w:w w:val="85"/>
              <w:szCs w:val="44"/>
            </w:rPr>
            <w:t>第八章 实施乡村</w:t>
          </w:r>
          <w:r>
            <w:rPr>
              <w:rFonts w:hint="eastAsia" w:ascii="Times New Roman" w:hAnsi="Times New Roman" w:eastAsia="方正小标宋简体" w:cs="Times New Roman"/>
              <w:w w:val="85"/>
              <w:szCs w:val="44"/>
              <w:lang w:val="en-US" w:eastAsia="zh-CN"/>
            </w:rPr>
            <w:t>振兴</w:t>
          </w:r>
          <w:r>
            <w:rPr>
              <w:rFonts w:ascii="Times New Roman" w:hAnsi="Times New Roman" w:eastAsia="方正小标宋简体" w:cs="Times New Roman"/>
              <w:w w:val="85"/>
              <w:szCs w:val="44"/>
            </w:rPr>
            <w:t>，</w:t>
          </w:r>
          <w:r>
            <w:rPr>
              <w:rFonts w:hint="eastAsia" w:ascii="Times New Roman" w:hAnsi="Times New Roman" w:eastAsia="方正小标宋简体" w:cs="Times New Roman"/>
              <w:w w:val="85"/>
              <w:szCs w:val="44"/>
              <w:lang w:eastAsia="zh-CN"/>
            </w:rPr>
            <w:t>塑造</w:t>
          </w:r>
          <w:r>
            <w:rPr>
              <w:rFonts w:hint="eastAsia" w:ascii="Times New Roman" w:hAnsi="Times New Roman" w:eastAsia="方正小标宋简体" w:cs="Times New Roman"/>
              <w:w w:val="85"/>
              <w:szCs w:val="44"/>
            </w:rPr>
            <w:t>农业农村现代化</w:t>
          </w:r>
          <w:r>
            <w:rPr>
              <w:rFonts w:hint="eastAsia" w:ascii="Times New Roman" w:hAnsi="Times New Roman" w:eastAsia="方正小标宋简体" w:cs="Times New Roman"/>
              <w:w w:val="85"/>
              <w:szCs w:val="44"/>
              <w:lang w:val="en-US" w:eastAsia="zh-CN"/>
            </w:rPr>
            <w:t>新面貌</w:t>
          </w:r>
          <w:r>
            <w:tab/>
          </w:r>
          <w:r>
            <w:fldChar w:fldCharType="begin"/>
          </w:r>
          <w:r>
            <w:instrText xml:space="preserve"> PAGEREF _Toc15901 \h </w:instrText>
          </w:r>
          <w:r>
            <w:fldChar w:fldCharType="separate"/>
          </w:r>
          <w:r>
            <w:t>- 55 -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_Toc31055 </w:instrText>
          </w:r>
          <w:r>
            <w:rPr>
              <w:rFonts w:cs="Times New Roman"/>
              <w:szCs w:val="32"/>
            </w:rPr>
            <w:fldChar w:fldCharType="separate"/>
          </w:r>
          <w:r>
            <w:rPr>
              <w:rFonts w:hint="eastAsia" w:ascii="楷体_GB2312" w:hAnsi="楷体_GB2312" w:eastAsia="楷体_GB2312" w:cs="楷体_GB2312"/>
              <w:bCs/>
              <w:szCs w:val="32"/>
            </w:rPr>
            <w:t>第一节 实施乡村建设行动</w:t>
          </w:r>
          <w:r>
            <w:tab/>
          </w:r>
          <w:r>
            <w:fldChar w:fldCharType="begin"/>
          </w:r>
          <w:r>
            <w:instrText xml:space="preserve"> PAGEREF _Toc31055 \h </w:instrText>
          </w:r>
          <w:r>
            <w:fldChar w:fldCharType="separate"/>
          </w:r>
          <w:r>
            <w:t>- 55 -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_Toc20262 </w:instrText>
          </w:r>
          <w:r>
            <w:rPr>
              <w:rFonts w:cs="Times New Roman"/>
              <w:szCs w:val="32"/>
            </w:rPr>
            <w:fldChar w:fldCharType="separate"/>
          </w:r>
          <w:r>
            <w:rPr>
              <w:rFonts w:hint="eastAsia" w:ascii="楷体_GB2312" w:hAnsi="楷体_GB2312" w:eastAsia="楷体_GB2312" w:cs="楷体_GB2312"/>
              <w:bCs/>
              <w:szCs w:val="32"/>
            </w:rPr>
            <w:t xml:space="preserve">第二节 </w:t>
          </w:r>
          <w:r>
            <w:rPr>
              <w:rFonts w:hint="eastAsia" w:ascii="楷体_GB2312" w:hAnsi="楷体_GB2312" w:eastAsia="楷体_GB2312" w:cs="楷体_GB2312"/>
              <w:bCs/>
              <w:szCs w:val="32"/>
              <w:lang w:val="en-US" w:eastAsia="zh-CN"/>
            </w:rPr>
            <w:t>大力</w:t>
          </w:r>
          <w:r>
            <w:rPr>
              <w:rFonts w:hint="eastAsia" w:ascii="楷体_GB2312" w:hAnsi="楷体_GB2312" w:eastAsia="楷体_GB2312" w:cs="楷体_GB2312"/>
              <w:bCs/>
              <w:szCs w:val="32"/>
            </w:rPr>
            <w:t>发展现代农业</w:t>
          </w:r>
          <w:r>
            <w:tab/>
          </w:r>
          <w:r>
            <w:fldChar w:fldCharType="begin"/>
          </w:r>
          <w:r>
            <w:instrText xml:space="preserve"> PAGEREF _Toc20262 \h </w:instrText>
          </w:r>
          <w:r>
            <w:fldChar w:fldCharType="separate"/>
          </w:r>
          <w:r>
            <w:t>- 56 -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_Toc17802 </w:instrText>
          </w:r>
          <w:r>
            <w:rPr>
              <w:rFonts w:cs="Times New Roman"/>
              <w:szCs w:val="32"/>
            </w:rPr>
            <w:fldChar w:fldCharType="separate"/>
          </w:r>
          <w:r>
            <w:rPr>
              <w:rFonts w:hint="eastAsia" w:ascii="楷体_GB2312" w:hAnsi="楷体_GB2312" w:eastAsia="楷体_GB2312" w:cs="楷体_GB2312"/>
              <w:bCs/>
              <w:szCs w:val="32"/>
            </w:rPr>
            <w:t>第三节 优化农业产业布局</w:t>
          </w:r>
          <w:r>
            <w:tab/>
          </w:r>
          <w:r>
            <w:fldChar w:fldCharType="begin"/>
          </w:r>
          <w:r>
            <w:instrText xml:space="preserve"> PAGEREF _Toc17802 \h </w:instrText>
          </w:r>
          <w:r>
            <w:fldChar w:fldCharType="separate"/>
          </w:r>
          <w:r>
            <w:t>- 58 -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_Toc4122 </w:instrText>
          </w:r>
          <w:r>
            <w:rPr>
              <w:rFonts w:cs="Times New Roman"/>
              <w:szCs w:val="32"/>
            </w:rPr>
            <w:fldChar w:fldCharType="separate"/>
          </w:r>
          <w:r>
            <w:rPr>
              <w:rFonts w:hint="eastAsia" w:ascii="楷体_GB2312" w:hAnsi="楷体_GB2312" w:eastAsia="楷体_GB2312" w:cs="楷体_GB2312"/>
              <w:bCs/>
              <w:szCs w:val="32"/>
            </w:rPr>
            <w:t xml:space="preserve">第四节 </w:t>
          </w:r>
          <w:r>
            <w:rPr>
              <w:rFonts w:hint="eastAsia" w:ascii="楷体_GB2312" w:hAnsi="楷体_GB2312" w:eastAsia="楷体_GB2312" w:cs="楷体_GB2312"/>
              <w:bCs/>
              <w:szCs w:val="32"/>
              <w:lang w:eastAsia="zh-CN"/>
            </w:rPr>
            <w:t>深化农村综合改革</w:t>
          </w:r>
          <w:r>
            <w:tab/>
          </w:r>
          <w:r>
            <w:fldChar w:fldCharType="begin"/>
          </w:r>
          <w:r>
            <w:instrText xml:space="preserve"> PAGEREF _Toc4122 \h </w:instrText>
          </w:r>
          <w:r>
            <w:fldChar w:fldCharType="separate"/>
          </w:r>
          <w:r>
            <w:t>- 59 -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_Toc9957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五</w:t>
          </w:r>
          <w:r>
            <w:rPr>
              <w:rFonts w:hint="eastAsia" w:ascii="楷体_GB2312" w:hAnsi="楷体_GB2312" w:eastAsia="楷体_GB2312" w:cs="楷体_GB2312"/>
              <w:bCs/>
              <w:szCs w:val="32"/>
            </w:rPr>
            <w:t>节 完善乡村治理体系</w:t>
          </w:r>
          <w:r>
            <w:tab/>
          </w:r>
          <w:r>
            <w:fldChar w:fldCharType="begin"/>
          </w:r>
          <w:r>
            <w:instrText xml:space="preserve"> PAGEREF _Toc9957 \h </w:instrText>
          </w:r>
          <w:r>
            <w:fldChar w:fldCharType="separate"/>
          </w:r>
          <w:r>
            <w:t>- 59 -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_Toc16385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六</w:t>
          </w:r>
          <w:r>
            <w:rPr>
              <w:rFonts w:hint="eastAsia" w:ascii="楷体_GB2312" w:hAnsi="楷体_GB2312" w:eastAsia="楷体_GB2312" w:cs="楷体_GB2312"/>
              <w:bCs/>
              <w:szCs w:val="32"/>
            </w:rPr>
            <w:t>节 巩固</w:t>
          </w:r>
          <w:r>
            <w:rPr>
              <w:rFonts w:hint="eastAsia" w:ascii="楷体_GB2312" w:hAnsi="楷体_GB2312" w:eastAsia="楷体_GB2312" w:cs="楷体_GB2312"/>
              <w:bCs/>
              <w:szCs w:val="32"/>
              <w:lang w:eastAsia="zh-CN"/>
            </w:rPr>
            <w:t>拓展</w:t>
          </w:r>
          <w:r>
            <w:rPr>
              <w:rFonts w:hint="eastAsia" w:ascii="楷体_GB2312" w:hAnsi="楷体_GB2312" w:eastAsia="楷体_GB2312" w:cs="楷体_GB2312"/>
              <w:bCs/>
              <w:szCs w:val="32"/>
            </w:rPr>
            <w:t>脱贫攻坚成果</w:t>
          </w:r>
          <w:r>
            <w:tab/>
          </w:r>
          <w:r>
            <w:fldChar w:fldCharType="begin"/>
          </w:r>
          <w:r>
            <w:instrText xml:space="preserve"> PAGEREF _Toc16385 \h </w:instrText>
          </w:r>
          <w:r>
            <w:fldChar w:fldCharType="separate"/>
          </w:r>
          <w:r>
            <w:t>- 60 -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_Toc22885 </w:instrText>
          </w:r>
          <w:r>
            <w:rPr>
              <w:rFonts w:cs="Times New Roman"/>
              <w:szCs w:val="32"/>
            </w:rPr>
            <w:fldChar w:fldCharType="separate"/>
          </w:r>
          <w:r>
            <w:rPr>
              <w:rFonts w:ascii="Times New Roman" w:hAnsi="Times New Roman" w:eastAsia="方正小标宋简体" w:cs="Times New Roman"/>
              <w:w w:val="85"/>
              <w:szCs w:val="44"/>
            </w:rPr>
            <w:t>第九章 优化国土空间，</w:t>
          </w:r>
          <w:r>
            <w:rPr>
              <w:rFonts w:hint="eastAsia" w:ascii="Times New Roman" w:hAnsi="Times New Roman" w:eastAsia="方正小标宋简体" w:cs="Times New Roman"/>
              <w:w w:val="85"/>
              <w:szCs w:val="44"/>
              <w:lang w:val="en-US" w:eastAsia="zh-CN"/>
            </w:rPr>
            <w:t>开创城乡一体</w:t>
          </w:r>
          <w:r>
            <w:rPr>
              <w:rFonts w:ascii="Times New Roman" w:hAnsi="Times New Roman" w:eastAsia="方正小标宋简体" w:cs="Times New Roman"/>
              <w:w w:val="85"/>
              <w:szCs w:val="44"/>
            </w:rPr>
            <w:t>化</w:t>
          </w:r>
          <w:r>
            <w:rPr>
              <w:rFonts w:hint="eastAsia" w:ascii="Times New Roman" w:hAnsi="Times New Roman" w:eastAsia="方正小标宋简体" w:cs="Times New Roman"/>
              <w:w w:val="85"/>
              <w:szCs w:val="44"/>
              <w:lang w:val="en-US" w:eastAsia="zh-CN"/>
            </w:rPr>
            <w:t>发展新局面</w:t>
          </w:r>
          <w:r>
            <w:tab/>
          </w:r>
          <w:r>
            <w:fldChar w:fldCharType="begin"/>
          </w:r>
          <w:r>
            <w:instrText xml:space="preserve"> PAGEREF _Toc22885 \h </w:instrText>
          </w:r>
          <w:r>
            <w:fldChar w:fldCharType="separate"/>
          </w:r>
          <w:r>
            <w:t>- 61 -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_Toc10114 </w:instrText>
          </w:r>
          <w:r>
            <w:rPr>
              <w:rFonts w:cs="Times New Roman"/>
              <w:szCs w:val="32"/>
            </w:rPr>
            <w:fldChar w:fldCharType="separate"/>
          </w:r>
          <w:r>
            <w:rPr>
              <w:rFonts w:hint="eastAsia" w:ascii="楷体_GB2312" w:hAnsi="楷体_GB2312" w:eastAsia="楷体_GB2312" w:cs="楷体_GB2312"/>
              <w:bCs/>
              <w:szCs w:val="32"/>
            </w:rPr>
            <w:t>第一节 构建国土开发保护新格局</w:t>
          </w:r>
          <w:r>
            <w:tab/>
          </w:r>
          <w:r>
            <w:fldChar w:fldCharType="begin"/>
          </w:r>
          <w:r>
            <w:instrText xml:space="preserve"> PAGEREF _Toc10114 \h </w:instrText>
          </w:r>
          <w:r>
            <w:fldChar w:fldCharType="separate"/>
          </w:r>
          <w:r>
            <w:t>- 61 -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_Toc21757 </w:instrText>
          </w:r>
          <w:r>
            <w:rPr>
              <w:rFonts w:cs="Times New Roman"/>
              <w:szCs w:val="32"/>
            </w:rPr>
            <w:fldChar w:fldCharType="separate"/>
          </w:r>
          <w:r>
            <w:rPr>
              <w:rFonts w:hint="eastAsia" w:ascii="楷体_GB2312" w:hAnsi="楷体_GB2312" w:eastAsia="楷体_GB2312" w:cs="楷体_GB2312"/>
              <w:bCs/>
              <w:szCs w:val="32"/>
            </w:rPr>
            <w:t xml:space="preserve">第二节 </w:t>
          </w:r>
          <w:r>
            <w:rPr>
              <w:rFonts w:hint="eastAsia" w:ascii="楷体_GB2312" w:hAnsi="楷体_GB2312" w:eastAsia="楷体_GB2312" w:cs="楷体_GB2312"/>
              <w:bCs/>
              <w:szCs w:val="32"/>
              <w:lang w:val="en-US" w:eastAsia="zh-CN"/>
            </w:rPr>
            <w:t>强化区域协作</w:t>
          </w:r>
          <w:r>
            <w:tab/>
          </w:r>
          <w:r>
            <w:fldChar w:fldCharType="begin"/>
          </w:r>
          <w:r>
            <w:instrText xml:space="preserve"> PAGEREF _Toc21757 \h </w:instrText>
          </w:r>
          <w:r>
            <w:fldChar w:fldCharType="separate"/>
          </w:r>
          <w:r>
            <w:t>- 62 -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_Toc4357 </w:instrText>
          </w:r>
          <w:r>
            <w:rPr>
              <w:rFonts w:cs="Times New Roman"/>
              <w:szCs w:val="32"/>
            </w:rPr>
            <w:fldChar w:fldCharType="separate"/>
          </w:r>
          <w:r>
            <w:rPr>
              <w:rFonts w:hint="eastAsia" w:ascii="楷体_GB2312" w:hAnsi="楷体_GB2312" w:eastAsia="楷体_GB2312" w:cs="楷体_GB2312"/>
              <w:bCs/>
              <w:szCs w:val="32"/>
            </w:rPr>
            <w:t>第三节 实施城市更新行动</w:t>
          </w:r>
          <w:r>
            <w:tab/>
          </w:r>
          <w:r>
            <w:fldChar w:fldCharType="begin"/>
          </w:r>
          <w:r>
            <w:instrText xml:space="preserve"> PAGEREF _Toc4357 \h </w:instrText>
          </w:r>
          <w:r>
            <w:fldChar w:fldCharType="separate"/>
          </w:r>
          <w:r>
            <w:t>- 63 -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_Toc11187 </w:instrText>
          </w:r>
          <w:r>
            <w:rPr>
              <w:rFonts w:cs="Times New Roman"/>
              <w:szCs w:val="32"/>
            </w:rPr>
            <w:fldChar w:fldCharType="separate"/>
          </w:r>
          <w:r>
            <w:rPr>
              <w:rFonts w:hint="eastAsia" w:ascii="楷体_GB2312" w:hAnsi="楷体_GB2312" w:eastAsia="楷体_GB2312" w:cs="楷体_GB2312"/>
              <w:bCs/>
              <w:szCs w:val="32"/>
            </w:rPr>
            <w:t>第四节 提升镇街发展水平</w:t>
          </w:r>
          <w:r>
            <w:tab/>
          </w:r>
          <w:r>
            <w:fldChar w:fldCharType="begin"/>
          </w:r>
          <w:r>
            <w:instrText xml:space="preserve"> PAGEREF _Toc11187 \h </w:instrText>
          </w:r>
          <w:r>
            <w:fldChar w:fldCharType="separate"/>
          </w:r>
          <w:r>
            <w:t>- 65 -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_Toc23244 </w:instrText>
          </w:r>
          <w:r>
            <w:rPr>
              <w:rFonts w:cs="Times New Roman"/>
              <w:szCs w:val="32"/>
            </w:rPr>
            <w:fldChar w:fldCharType="separate"/>
          </w:r>
          <w:r>
            <w:rPr>
              <w:rFonts w:hint="eastAsia" w:ascii="楷体_GB2312" w:hAnsi="楷体_GB2312" w:eastAsia="楷体_GB2312" w:cs="楷体_GB2312"/>
              <w:bCs/>
              <w:szCs w:val="32"/>
            </w:rPr>
            <w:t>第五节 提升新型社区和中心村服务水平</w:t>
          </w:r>
          <w:r>
            <w:tab/>
          </w:r>
          <w:r>
            <w:fldChar w:fldCharType="begin"/>
          </w:r>
          <w:r>
            <w:instrText xml:space="preserve"> PAGEREF _Toc23244 \h </w:instrText>
          </w:r>
          <w:r>
            <w:fldChar w:fldCharType="separate"/>
          </w:r>
          <w:r>
            <w:t>- 66 -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_Toc19910 </w:instrText>
          </w:r>
          <w:r>
            <w:rPr>
              <w:rFonts w:cs="Times New Roman"/>
              <w:szCs w:val="32"/>
            </w:rPr>
            <w:fldChar w:fldCharType="separate"/>
          </w:r>
          <w:r>
            <w:rPr>
              <w:rFonts w:hint="eastAsia" w:ascii="楷体_GB2312" w:hAnsi="楷体_GB2312" w:eastAsia="楷体_GB2312" w:cs="楷体_GB2312"/>
              <w:bCs/>
              <w:szCs w:val="32"/>
            </w:rPr>
            <w:t>第六节 统筹推进城乡融合发展</w:t>
          </w:r>
          <w:r>
            <w:tab/>
          </w:r>
          <w:r>
            <w:fldChar w:fldCharType="begin"/>
          </w:r>
          <w:r>
            <w:instrText xml:space="preserve"> PAGEREF _Toc19910 \h </w:instrText>
          </w:r>
          <w:r>
            <w:fldChar w:fldCharType="separate"/>
          </w:r>
          <w:r>
            <w:t>- 66 -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_Toc15097 </w:instrText>
          </w:r>
          <w:r>
            <w:rPr>
              <w:rFonts w:cs="Times New Roman"/>
              <w:szCs w:val="32"/>
            </w:rPr>
            <w:fldChar w:fldCharType="separate"/>
          </w:r>
          <w:r>
            <w:rPr>
              <w:rFonts w:ascii="Times New Roman" w:hAnsi="Times New Roman" w:eastAsia="方正小标宋简体" w:cs="Times New Roman"/>
              <w:w w:val="85"/>
              <w:szCs w:val="44"/>
            </w:rPr>
            <w:t xml:space="preserve">第十章 </w:t>
          </w:r>
          <w:r>
            <w:rPr>
              <w:rFonts w:hint="eastAsia" w:ascii="Times New Roman" w:hAnsi="Times New Roman" w:eastAsia="方正小标宋简体" w:cs="Times New Roman"/>
              <w:w w:val="85"/>
              <w:szCs w:val="44"/>
              <w:lang w:val="en-US" w:eastAsia="zh-CN"/>
            </w:rPr>
            <w:t>坚持</w:t>
          </w:r>
          <w:r>
            <w:rPr>
              <w:rFonts w:ascii="Times New Roman" w:hAnsi="Times New Roman" w:eastAsia="方正小标宋简体" w:cs="Times New Roman"/>
              <w:w w:val="85"/>
              <w:szCs w:val="44"/>
            </w:rPr>
            <w:t>融合</w:t>
          </w:r>
          <w:r>
            <w:rPr>
              <w:rFonts w:hint="eastAsia" w:ascii="Times New Roman" w:hAnsi="Times New Roman" w:eastAsia="方正小标宋简体" w:cs="Times New Roman"/>
              <w:w w:val="85"/>
              <w:szCs w:val="44"/>
              <w:lang w:val="en-US" w:eastAsia="zh-CN"/>
            </w:rPr>
            <w:t>发展</w:t>
          </w:r>
          <w:r>
            <w:rPr>
              <w:rFonts w:ascii="Times New Roman" w:hAnsi="Times New Roman" w:eastAsia="方正小标宋简体" w:cs="Times New Roman"/>
              <w:w w:val="85"/>
              <w:szCs w:val="44"/>
            </w:rPr>
            <w:t>，</w:t>
          </w:r>
          <w:r>
            <w:rPr>
              <w:rFonts w:hint="eastAsia" w:ascii="Times New Roman" w:hAnsi="Times New Roman" w:eastAsia="方正小标宋简体" w:cs="Times New Roman"/>
              <w:w w:val="85"/>
              <w:szCs w:val="44"/>
              <w:lang w:val="en-US" w:eastAsia="zh-CN"/>
            </w:rPr>
            <w:t>打造文旅品牌化发展新名片</w:t>
          </w:r>
          <w:r>
            <w:tab/>
          </w:r>
          <w:r>
            <w:fldChar w:fldCharType="begin"/>
          </w:r>
          <w:r>
            <w:instrText xml:space="preserve"> PAGEREF _Toc15097 \h </w:instrText>
          </w:r>
          <w:r>
            <w:fldChar w:fldCharType="separate"/>
          </w:r>
          <w:r>
            <w:t>- 67 -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_Toc3117 </w:instrText>
          </w:r>
          <w:r>
            <w:rPr>
              <w:rFonts w:cs="Times New Roman"/>
              <w:szCs w:val="32"/>
            </w:rPr>
            <w:fldChar w:fldCharType="separate"/>
          </w:r>
          <w:r>
            <w:rPr>
              <w:rFonts w:hint="eastAsia" w:ascii="楷体_GB2312" w:hAnsi="楷体_GB2312" w:eastAsia="楷体_GB2312" w:cs="楷体_GB2312"/>
              <w:bCs/>
              <w:szCs w:val="32"/>
            </w:rPr>
            <w:t>第一节 大力弘扬神木精神</w:t>
          </w:r>
          <w:r>
            <w:tab/>
          </w:r>
          <w:r>
            <w:fldChar w:fldCharType="begin"/>
          </w:r>
          <w:r>
            <w:instrText xml:space="preserve"> PAGEREF _Toc3117 \h </w:instrText>
          </w:r>
          <w:r>
            <w:fldChar w:fldCharType="separate"/>
          </w:r>
          <w:r>
            <w:t>- 67 -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_Toc19609 </w:instrText>
          </w:r>
          <w:r>
            <w:rPr>
              <w:rFonts w:cs="Times New Roman"/>
              <w:szCs w:val="32"/>
            </w:rPr>
            <w:fldChar w:fldCharType="separate"/>
          </w:r>
          <w:r>
            <w:rPr>
              <w:rFonts w:hint="eastAsia" w:ascii="楷体_GB2312" w:hAnsi="楷体_GB2312" w:eastAsia="楷体_GB2312" w:cs="楷体_GB2312"/>
              <w:bCs/>
              <w:szCs w:val="32"/>
            </w:rPr>
            <w:t>第二节 打造石峁世界名片</w:t>
          </w:r>
          <w:r>
            <w:tab/>
          </w:r>
          <w:r>
            <w:fldChar w:fldCharType="begin"/>
          </w:r>
          <w:r>
            <w:instrText xml:space="preserve"> PAGEREF _Toc19609 \h </w:instrText>
          </w:r>
          <w:r>
            <w:fldChar w:fldCharType="separate"/>
          </w:r>
          <w:r>
            <w:t>- 67 -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_Toc13291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三</w:t>
          </w:r>
          <w:r>
            <w:rPr>
              <w:rFonts w:hint="eastAsia" w:ascii="楷体_GB2312" w:hAnsi="楷体_GB2312" w:eastAsia="楷体_GB2312" w:cs="楷体_GB2312"/>
              <w:bCs/>
              <w:szCs w:val="32"/>
            </w:rPr>
            <w:t xml:space="preserve">节 </w:t>
          </w:r>
          <w:r>
            <w:rPr>
              <w:rFonts w:hint="eastAsia" w:ascii="楷体_GB2312" w:hAnsi="楷体_GB2312" w:eastAsia="楷体_GB2312" w:cs="楷体_GB2312"/>
              <w:bCs/>
              <w:szCs w:val="32"/>
              <w:lang w:eastAsia="zh-CN"/>
            </w:rPr>
            <w:t>建设杨家城国家文化遗址公园</w:t>
          </w:r>
          <w:r>
            <w:tab/>
          </w:r>
          <w:r>
            <w:fldChar w:fldCharType="begin"/>
          </w:r>
          <w:r>
            <w:instrText xml:space="preserve"> PAGEREF _Toc13291 \h </w:instrText>
          </w:r>
          <w:r>
            <w:fldChar w:fldCharType="separate"/>
          </w:r>
          <w:r>
            <w:t>- 68 -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_Toc30249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四</w:t>
          </w:r>
          <w:r>
            <w:rPr>
              <w:rFonts w:hint="eastAsia" w:ascii="楷体_GB2312" w:hAnsi="楷体_GB2312" w:eastAsia="楷体_GB2312" w:cs="楷体_GB2312"/>
              <w:bCs/>
              <w:szCs w:val="32"/>
            </w:rPr>
            <w:t>节 扩大长城、黄河文化影响</w:t>
          </w:r>
          <w:r>
            <w:tab/>
          </w:r>
          <w:r>
            <w:fldChar w:fldCharType="begin"/>
          </w:r>
          <w:r>
            <w:instrText xml:space="preserve"> PAGEREF _Toc30249 \h </w:instrText>
          </w:r>
          <w:r>
            <w:fldChar w:fldCharType="separate"/>
          </w:r>
          <w:r>
            <w:t>- 68 -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_Toc12543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五</w:t>
          </w:r>
          <w:r>
            <w:rPr>
              <w:rFonts w:hint="eastAsia" w:ascii="楷体_GB2312" w:hAnsi="楷体_GB2312" w:eastAsia="楷体_GB2312" w:cs="楷体_GB2312"/>
              <w:bCs/>
              <w:szCs w:val="32"/>
            </w:rPr>
            <w:t>节 打造现代工业旅游城市</w:t>
          </w:r>
          <w:r>
            <w:tab/>
          </w:r>
          <w:r>
            <w:fldChar w:fldCharType="begin"/>
          </w:r>
          <w:r>
            <w:instrText xml:space="preserve"> PAGEREF _Toc12543 \h </w:instrText>
          </w:r>
          <w:r>
            <w:fldChar w:fldCharType="separate"/>
          </w:r>
          <w:r>
            <w:t>- 69 -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_Toc32057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六</w:t>
          </w:r>
          <w:r>
            <w:rPr>
              <w:rFonts w:hint="eastAsia" w:ascii="楷体_GB2312" w:hAnsi="楷体_GB2312" w:eastAsia="楷体_GB2312" w:cs="楷体_GB2312"/>
              <w:bCs/>
              <w:szCs w:val="32"/>
            </w:rPr>
            <w:t xml:space="preserve">节 </w:t>
          </w:r>
          <w:r>
            <w:rPr>
              <w:rFonts w:hint="eastAsia" w:ascii="楷体_GB2312" w:hAnsi="楷体_GB2312" w:eastAsia="楷体_GB2312" w:cs="楷体_GB2312"/>
              <w:bCs/>
              <w:szCs w:val="32"/>
              <w:lang w:val="en-US" w:eastAsia="zh-CN"/>
            </w:rPr>
            <w:t>创建国家全域旅游示范市</w:t>
          </w:r>
          <w:r>
            <w:tab/>
          </w:r>
          <w:r>
            <w:fldChar w:fldCharType="begin"/>
          </w:r>
          <w:r>
            <w:instrText xml:space="preserve"> PAGEREF _Toc32057 \h </w:instrText>
          </w:r>
          <w:r>
            <w:fldChar w:fldCharType="separate"/>
          </w:r>
          <w:r>
            <w:t>- 69 -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_Toc24074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eastAsia="zh-CN"/>
            </w:rPr>
            <w:t>七</w:t>
          </w:r>
          <w:r>
            <w:rPr>
              <w:rFonts w:hint="eastAsia" w:ascii="楷体_GB2312" w:hAnsi="楷体_GB2312" w:eastAsia="楷体_GB2312" w:cs="楷体_GB2312"/>
              <w:bCs/>
              <w:szCs w:val="32"/>
            </w:rPr>
            <w:t>节 完善公共文化服务体系</w:t>
          </w:r>
          <w:r>
            <w:tab/>
          </w:r>
          <w:r>
            <w:fldChar w:fldCharType="begin"/>
          </w:r>
          <w:r>
            <w:instrText xml:space="preserve"> PAGEREF _Toc24074 \h </w:instrText>
          </w:r>
          <w:r>
            <w:fldChar w:fldCharType="separate"/>
          </w:r>
          <w:r>
            <w:t>- 70 -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_Toc30732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val="en-US" w:eastAsia="zh-CN"/>
            </w:rPr>
            <w:t>八</w:t>
          </w:r>
          <w:r>
            <w:rPr>
              <w:rFonts w:hint="eastAsia" w:ascii="楷体_GB2312" w:hAnsi="楷体_GB2312" w:eastAsia="楷体_GB2312" w:cs="楷体_GB2312"/>
              <w:bCs/>
              <w:szCs w:val="32"/>
            </w:rPr>
            <w:t xml:space="preserve">节 </w:t>
          </w:r>
          <w:r>
            <w:rPr>
              <w:rFonts w:hint="eastAsia" w:ascii="楷体_GB2312" w:hAnsi="楷体_GB2312" w:eastAsia="楷体_GB2312" w:cs="楷体_GB2312"/>
              <w:bCs/>
              <w:szCs w:val="32"/>
              <w:lang w:val="en-US" w:eastAsia="zh-CN"/>
            </w:rPr>
            <w:t>大力培育文化产业</w:t>
          </w:r>
          <w:r>
            <w:tab/>
          </w:r>
          <w:r>
            <w:fldChar w:fldCharType="begin"/>
          </w:r>
          <w:r>
            <w:instrText xml:space="preserve"> PAGEREF _Toc30732 \h </w:instrText>
          </w:r>
          <w:r>
            <w:fldChar w:fldCharType="separate"/>
          </w:r>
          <w:r>
            <w:t>- 71 -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_Toc3543 </w:instrText>
          </w:r>
          <w:r>
            <w:rPr>
              <w:rFonts w:cs="Times New Roman"/>
              <w:szCs w:val="32"/>
            </w:rPr>
            <w:fldChar w:fldCharType="separate"/>
          </w:r>
          <w:r>
            <w:rPr>
              <w:rFonts w:ascii="Times New Roman" w:hAnsi="Times New Roman" w:eastAsia="方正小标宋简体" w:cs="Times New Roman"/>
              <w:w w:val="82"/>
              <w:szCs w:val="44"/>
            </w:rPr>
            <w:t xml:space="preserve">第十一章 </w:t>
          </w:r>
          <w:r>
            <w:rPr>
              <w:rFonts w:hint="eastAsia" w:ascii="Times New Roman" w:hAnsi="Times New Roman" w:eastAsia="方正小标宋简体" w:cs="Times New Roman"/>
              <w:w w:val="82"/>
              <w:szCs w:val="44"/>
              <w:lang w:val="en-US" w:eastAsia="zh-CN"/>
            </w:rPr>
            <w:t>加速生态修复</w:t>
          </w:r>
          <w:r>
            <w:rPr>
              <w:rFonts w:ascii="Times New Roman" w:hAnsi="Times New Roman" w:eastAsia="方正小标宋简体" w:cs="Times New Roman"/>
              <w:w w:val="82"/>
              <w:szCs w:val="44"/>
            </w:rPr>
            <w:t>，</w:t>
          </w:r>
          <w:r>
            <w:rPr>
              <w:rFonts w:hint="eastAsia" w:ascii="Times New Roman" w:hAnsi="Times New Roman" w:eastAsia="方正小标宋简体" w:cs="Times New Roman"/>
              <w:w w:val="82"/>
              <w:szCs w:val="44"/>
              <w:lang w:val="en-US" w:eastAsia="zh-CN"/>
            </w:rPr>
            <w:t>构筑矿区</w:t>
          </w:r>
          <w:r>
            <w:rPr>
              <w:rFonts w:ascii="Times New Roman" w:hAnsi="Times New Roman" w:eastAsia="方正小标宋简体" w:cs="Times New Roman"/>
              <w:w w:val="82"/>
              <w:szCs w:val="44"/>
            </w:rPr>
            <w:t>生态</w:t>
          </w:r>
          <w:r>
            <w:rPr>
              <w:rFonts w:hint="eastAsia" w:ascii="Times New Roman" w:hAnsi="Times New Roman" w:eastAsia="方正小标宋简体" w:cs="Times New Roman"/>
              <w:w w:val="82"/>
              <w:szCs w:val="44"/>
              <w:lang w:val="en-US" w:eastAsia="zh-CN"/>
            </w:rPr>
            <w:t>绿色化新屏障</w:t>
          </w:r>
          <w:r>
            <w:tab/>
          </w:r>
          <w:r>
            <w:fldChar w:fldCharType="begin"/>
          </w:r>
          <w:r>
            <w:instrText xml:space="preserve"> PAGEREF _Toc3543 \h </w:instrText>
          </w:r>
          <w:r>
            <w:fldChar w:fldCharType="separate"/>
          </w:r>
          <w:r>
            <w:t>- 73 -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_Toc1639 </w:instrText>
          </w:r>
          <w:r>
            <w:rPr>
              <w:rFonts w:cs="Times New Roman"/>
              <w:szCs w:val="32"/>
            </w:rPr>
            <w:fldChar w:fldCharType="separate"/>
          </w:r>
          <w:r>
            <w:rPr>
              <w:rFonts w:hint="eastAsia" w:ascii="楷体_GB2312" w:hAnsi="楷体_GB2312" w:eastAsia="楷体_GB2312" w:cs="楷体_GB2312"/>
              <w:bCs/>
              <w:szCs w:val="32"/>
            </w:rPr>
            <w:t>第一节 打好矿区生态修复攻坚战</w:t>
          </w:r>
          <w:r>
            <w:tab/>
          </w:r>
          <w:r>
            <w:fldChar w:fldCharType="begin"/>
          </w:r>
          <w:r>
            <w:instrText xml:space="preserve"> PAGEREF _Toc1639 \h </w:instrText>
          </w:r>
          <w:r>
            <w:fldChar w:fldCharType="separate"/>
          </w:r>
          <w:r>
            <w:t>- 73 -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_Toc13349 </w:instrText>
          </w:r>
          <w:r>
            <w:rPr>
              <w:rFonts w:cs="Times New Roman"/>
              <w:szCs w:val="32"/>
            </w:rPr>
            <w:fldChar w:fldCharType="separate"/>
          </w:r>
          <w:r>
            <w:rPr>
              <w:rFonts w:hint="eastAsia" w:ascii="楷体_GB2312" w:hAnsi="楷体_GB2312" w:eastAsia="楷体_GB2312" w:cs="楷体_GB2312"/>
              <w:bCs/>
              <w:szCs w:val="32"/>
            </w:rPr>
            <w:t>第二节 推进固体废弃物综合利用</w:t>
          </w:r>
          <w:r>
            <w:tab/>
          </w:r>
          <w:r>
            <w:fldChar w:fldCharType="begin"/>
          </w:r>
          <w:r>
            <w:instrText xml:space="preserve"> PAGEREF _Toc13349 \h </w:instrText>
          </w:r>
          <w:r>
            <w:fldChar w:fldCharType="separate"/>
          </w:r>
          <w:r>
            <w:t>- 73 -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_Toc8507 </w:instrText>
          </w:r>
          <w:r>
            <w:rPr>
              <w:rFonts w:cs="Times New Roman"/>
              <w:szCs w:val="32"/>
            </w:rPr>
            <w:fldChar w:fldCharType="separate"/>
          </w:r>
          <w:r>
            <w:rPr>
              <w:rFonts w:hint="eastAsia" w:ascii="楷体_GB2312" w:hAnsi="楷体_GB2312" w:eastAsia="楷体_GB2312" w:cs="楷体_GB2312"/>
              <w:bCs/>
              <w:szCs w:val="32"/>
            </w:rPr>
            <w:t>第三节 实施塞上绿色行动计划</w:t>
          </w:r>
          <w:r>
            <w:tab/>
          </w:r>
          <w:r>
            <w:fldChar w:fldCharType="begin"/>
          </w:r>
          <w:r>
            <w:instrText xml:space="preserve"> PAGEREF _Toc8507 \h </w:instrText>
          </w:r>
          <w:r>
            <w:fldChar w:fldCharType="separate"/>
          </w:r>
          <w:r>
            <w:t>- 74 -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_Toc20091 </w:instrText>
          </w:r>
          <w:r>
            <w:rPr>
              <w:rFonts w:cs="Times New Roman"/>
              <w:szCs w:val="32"/>
            </w:rPr>
            <w:fldChar w:fldCharType="separate"/>
          </w:r>
          <w:r>
            <w:rPr>
              <w:rFonts w:hint="eastAsia" w:ascii="楷体_GB2312" w:hAnsi="楷体_GB2312" w:eastAsia="楷体_GB2312" w:cs="楷体_GB2312"/>
              <w:bCs/>
              <w:szCs w:val="32"/>
            </w:rPr>
            <w:t>第四节 强化大气、水、土壤污染防治</w:t>
          </w:r>
          <w:r>
            <w:tab/>
          </w:r>
          <w:r>
            <w:fldChar w:fldCharType="begin"/>
          </w:r>
          <w:r>
            <w:instrText xml:space="preserve"> PAGEREF _Toc20091 \h </w:instrText>
          </w:r>
          <w:r>
            <w:fldChar w:fldCharType="separate"/>
          </w:r>
          <w:r>
            <w:t>- 75 -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_Toc8930 </w:instrText>
          </w:r>
          <w:r>
            <w:rPr>
              <w:rFonts w:cs="Times New Roman"/>
              <w:szCs w:val="32"/>
            </w:rPr>
            <w:fldChar w:fldCharType="separate"/>
          </w:r>
          <w:r>
            <w:rPr>
              <w:rFonts w:hint="eastAsia" w:ascii="楷体_GB2312" w:hAnsi="楷体_GB2312" w:eastAsia="楷体_GB2312" w:cs="楷体_GB2312"/>
              <w:bCs/>
              <w:szCs w:val="32"/>
            </w:rPr>
            <w:t xml:space="preserve">第五节 </w:t>
          </w:r>
          <w:r>
            <w:rPr>
              <w:rFonts w:hint="eastAsia" w:ascii="楷体_GB2312" w:hAnsi="楷体_GB2312" w:eastAsia="楷体_GB2312" w:cs="楷体_GB2312"/>
              <w:bCs/>
              <w:szCs w:val="32"/>
              <w:lang w:eastAsia="zh-CN"/>
            </w:rPr>
            <w:t>推进黄河流域生态保护治理</w:t>
          </w:r>
          <w:r>
            <w:tab/>
          </w:r>
          <w:r>
            <w:fldChar w:fldCharType="begin"/>
          </w:r>
          <w:r>
            <w:instrText xml:space="preserve"> PAGEREF _Toc8930 \h </w:instrText>
          </w:r>
          <w:r>
            <w:fldChar w:fldCharType="separate"/>
          </w:r>
          <w:r>
            <w:t>- 77 -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_Toc9255 </w:instrText>
          </w:r>
          <w:r>
            <w:rPr>
              <w:rFonts w:cs="Times New Roman"/>
              <w:szCs w:val="32"/>
            </w:rPr>
            <w:fldChar w:fldCharType="separate"/>
          </w:r>
          <w:r>
            <w:rPr>
              <w:rFonts w:hint="eastAsia" w:ascii="楷体_GB2312" w:hAnsi="楷体_GB2312" w:eastAsia="楷体_GB2312" w:cs="楷体_GB2312"/>
              <w:bCs/>
              <w:szCs w:val="32"/>
            </w:rPr>
            <w:t xml:space="preserve">第六节 </w:t>
          </w:r>
          <w:r>
            <w:rPr>
              <w:rFonts w:hint="eastAsia" w:ascii="楷体_GB2312" w:hAnsi="楷体_GB2312" w:eastAsia="楷体_GB2312" w:cs="楷体_GB2312"/>
              <w:bCs/>
              <w:szCs w:val="32"/>
              <w:lang w:eastAsia="zh-CN"/>
            </w:rPr>
            <w:t>建立绿色生产生活方式</w:t>
          </w:r>
          <w:r>
            <w:tab/>
          </w:r>
          <w:r>
            <w:fldChar w:fldCharType="begin"/>
          </w:r>
          <w:r>
            <w:instrText xml:space="preserve"> PAGEREF _Toc9255 \h </w:instrText>
          </w:r>
          <w:r>
            <w:fldChar w:fldCharType="separate"/>
          </w:r>
          <w:r>
            <w:t>- 78 -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_Toc11295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val="en-US" w:eastAsia="zh-CN"/>
            </w:rPr>
            <w:t>七</w:t>
          </w:r>
          <w:r>
            <w:rPr>
              <w:rFonts w:hint="eastAsia" w:ascii="楷体_GB2312" w:hAnsi="楷体_GB2312" w:eastAsia="楷体_GB2312" w:cs="楷体_GB2312"/>
              <w:bCs/>
              <w:szCs w:val="32"/>
            </w:rPr>
            <w:t xml:space="preserve">节 </w:t>
          </w:r>
          <w:r>
            <w:rPr>
              <w:rFonts w:hint="eastAsia" w:ascii="楷体_GB2312" w:hAnsi="楷体_GB2312" w:eastAsia="楷体_GB2312" w:cs="楷体_GB2312"/>
              <w:bCs/>
              <w:szCs w:val="32"/>
              <w:lang w:val="en-US" w:eastAsia="zh-CN"/>
            </w:rPr>
            <w:t>加大工业污染防治力度</w:t>
          </w:r>
          <w:r>
            <w:tab/>
          </w:r>
          <w:r>
            <w:fldChar w:fldCharType="begin"/>
          </w:r>
          <w:r>
            <w:instrText xml:space="preserve"> PAGEREF _Toc11295 \h </w:instrText>
          </w:r>
          <w:r>
            <w:fldChar w:fldCharType="separate"/>
          </w:r>
          <w:r>
            <w:t>- 80 -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_Toc6991 </w:instrText>
          </w:r>
          <w:r>
            <w:rPr>
              <w:rFonts w:cs="Times New Roman"/>
              <w:szCs w:val="32"/>
            </w:rPr>
            <w:fldChar w:fldCharType="separate"/>
          </w:r>
          <w:r>
            <w:rPr>
              <w:rFonts w:ascii="Times New Roman" w:hAnsi="Times New Roman" w:eastAsia="方正小标宋简体" w:cs="Times New Roman"/>
              <w:w w:val="82"/>
              <w:szCs w:val="44"/>
            </w:rPr>
            <w:t xml:space="preserve">第十二章 </w:t>
          </w:r>
          <w:r>
            <w:rPr>
              <w:rFonts w:hint="eastAsia" w:ascii="Times New Roman" w:hAnsi="Times New Roman" w:eastAsia="方正小标宋简体" w:cs="Times New Roman"/>
              <w:w w:val="82"/>
              <w:szCs w:val="44"/>
              <w:lang w:val="en-US" w:eastAsia="zh-CN"/>
            </w:rPr>
            <w:t>持续改善民生</w:t>
          </w:r>
          <w:r>
            <w:rPr>
              <w:rFonts w:ascii="Times New Roman" w:hAnsi="Times New Roman" w:eastAsia="方正小标宋简体" w:cs="Times New Roman"/>
              <w:w w:val="82"/>
              <w:szCs w:val="44"/>
            </w:rPr>
            <w:t>，</w:t>
          </w:r>
          <w:r>
            <w:rPr>
              <w:rFonts w:hint="eastAsia" w:ascii="Times New Roman" w:hAnsi="Times New Roman" w:eastAsia="方正小标宋简体" w:cs="Times New Roman"/>
              <w:w w:val="82"/>
              <w:szCs w:val="44"/>
              <w:lang w:val="en-US" w:eastAsia="zh-CN"/>
            </w:rPr>
            <w:t>建设宜居精致幸福新家园</w:t>
          </w:r>
          <w:r>
            <w:tab/>
          </w:r>
          <w:r>
            <w:fldChar w:fldCharType="begin"/>
          </w:r>
          <w:r>
            <w:instrText xml:space="preserve"> PAGEREF _Toc6991 \h </w:instrText>
          </w:r>
          <w:r>
            <w:fldChar w:fldCharType="separate"/>
          </w:r>
          <w:r>
            <w:t>- 82 -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_Toc31014 </w:instrText>
          </w:r>
          <w:r>
            <w:rPr>
              <w:rFonts w:cs="Times New Roman"/>
              <w:szCs w:val="32"/>
            </w:rPr>
            <w:fldChar w:fldCharType="separate"/>
          </w:r>
          <w:r>
            <w:rPr>
              <w:rFonts w:hint="eastAsia" w:ascii="楷体_GB2312" w:hAnsi="楷体_GB2312" w:eastAsia="楷体_GB2312" w:cs="楷体_GB2312"/>
              <w:bCs/>
              <w:szCs w:val="32"/>
            </w:rPr>
            <w:t>第一节 提高就业与收入水平</w:t>
          </w:r>
          <w:r>
            <w:tab/>
          </w:r>
          <w:r>
            <w:fldChar w:fldCharType="begin"/>
          </w:r>
          <w:r>
            <w:instrText xml:space="preserve"> PAGEREF _Toc31014 \h </w:instrText>
          </w:r>
          <w:r>
            <w:fldChar w:fldCharType="separate"/>
          </w:r>
          <w:r>
            <w:t>- 82 -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_Toc23388 </w:instrText>
          </w:r>
          <w:r>
            <w:rPr>
              <w:rFonts w:cs="Times New Roman"/>
              <w:szCs w:val="32"/>
            </w:rPr>
            <w:fldChar w:fldCharType="separate"/>
          </w:r>
          <w:r>
            <w:rPr>
              <w:rFonts w:hint="eastAsia" w:ascii="楷体_GB2312" w:hAnsi="楷体_GB2312" w:eastAsia="楷体_GB2312" w:cs="楷体_GB2312"/>
              <w:bCs/>
              <w:szCs w:val="32"/>
            </w:rPr>
            <w:t>第二节 建设高质量教育体系</w:t>
          </w:r>
          <w:r>
            <w:tab/>
          </w:r>
          <w:r>
            <w:fldChar w:fldCharType="begin"/>
          </w:r>
          <w:r>
            <w:instrText xml:space="preserve"> PAGEREF _Toc23388 \h </w:instrText>
          </w:r>
          <w:r>
            <w:fldChar w:fldCharType="separate"/>
          </w:r>
          <w:r>
            <w:t>- 83 -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_Toc1975 </w:instrText>
          </w:r>
          <w:r>
            <w:rPr>
              <w:rFonts w:cs="Times New Roman"/>
              <w:szCs w:val="32"/>
            </w:rPr>
            <w:fldChar w:fldCharType="separate"/>
          </w:r>
          <w:r>
            <w:rPr>
              <w:rFonts w:hint="eastAsia" w:ascii="楷体_GB2312" w:hAnsi="楷体_GB2312" w:eastAsia="楷体_GB2312" w:cs="楷体_GB2312"/>
              <w:bCs/>
              <w:szCs w:val="32"/>
            </w:rPr>
            <w:t xml:space="preserve">第三节 </w:t>
          </w:r>
          <w:r>
            <w:rPr>
              <w:rFonts w:hint="eastAsia" w:ascii="楷体_GB2312" w:hAnsi="楷体_GB2312" w:eastAsia="楷体_GB2312" w:cs="楷体_GB2312"/>
              <w:bCs/>
              <w:szCs w:val="32"/>
              <w:lang w:val="en-US" w:eastAsia="zh-CN"/>
            </w:rPr>
            <w:t>深入</w:t>
          </w:r>
          <w:r>
            <w:rPr>
              <w:rFonts w:hint="eastAsia" w:ascii="楷体_GB2312" w:hAnsi="楷体_GB2312" w:eastAsia="楷体_GB2312" w:cs="楷体_GB2312"/>
              <w:bCs/>
              <w:szCs w:val="32"/>
            </w:rPr>
            <w:t>推进健康神木</w:t>
          </w:r>
          <w:r>
            <w:tab/>
          </w:r>
          <w:r>
            <w:fldChar w:fldCharType="begin"/>
          </w:r>
          <w:r>
            <w:instrText xml:space="preserve"> PAGEREF _Toc1975 \h </w:instrText>
          </w:r>
          <w:r>
            <w:fldChar w:fldCharType="separate"/>
          </w:r>
          <w:r>
            <w:t>- 85 -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_Toc30497 </w:instrText>
          </w:r>
          <w:r>
            <w:rPr>
              <w:rFonts w:cs="Times New Roman"/>
              <w:szCs w:val="32"/>
            </w:rPr>
            <w:fldChar w:fldCharType="separate"/>
          </w:r>
          <w:r>
            <w:rPr>
              <w:rFonts w:hint="eastAsia" w:ascii="楷体_GB2312" w:hAnsi="楷体_GB2312" w:eastAsia="楷体_GB2312" w:cs="楷体_GB2312"/>
              <w:bCs/>
              <w:szCs w:val="32"/>
            </w:rPr>
            <w:t xml:space="preserve">第四节 </w:t>
          </w:r>
          <w:r>
            <w:rPr>
              <w:rFonts w:hint="eastAsia" w:ascii="楷体_GB2312" w:hAnsi="楷体_GB2312" w:eastAsia="楷体_GB2312" w:cs="楷体_GB2312"/>
              <w:bCs/>
              <w:szCs w:val="32"/>
              <w:lang w:eastAsia="zh-CN"/>
            </w:rPr>
            <w:t>积极应对人口老龄化</w:t>
          </w:r>
          <w:r>
            <w:tab/>
          </w:r>
          <w:r>
            <w:fldChar w:fldCharType="begin"/>
          </w:r>
          <w:r>
            <w:instrText xml:space="preserve"> PAGEREF _Toc30497 \h </w:instrText>
          </w:r>
          <w:r>
            <w:fldChar w:fldCharType="separate"/>
          </w:r>
          <w:r>
            <w:t>- 87 -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_Toc17188 </w:instrText>
          </w:r>
          <w:r>
            <w:rPr>
              <w:rFonts w:cs="Times New Roman"/>
              <w:szCs w:val="32"/>
            </w:rPr>
            <w:fldChar w:fldCharType="separate"/>
          </w:r>
          <w:r>
            <w:rPr>
              <w:rFonts w:hint="eastAsia" w:ascii="楷体_GB2312" w:hAnsi="楷体_GB2312" w:eastAsia="楷体_GB2312" w:cs="楷体_GB2312"/>
              <w:bCs/>
              <w:szCs w:val="32"/>
            </w:rPr>
            <w:t>第五节 健全多层次社保体系</w:t>
          </w:r>
          <w:r>
            <w:tab/>
          </w:r>
          <w:r>
            <w:fldChar w:fldCharType="begin"/>
          </w:r>
          <w:r>
            <w:instrText xml:space="preserve"> PAGEREF _Toc17188 \h </w:instrText>
          </w:r>
          <w:r>
            <w:fldChar w:fldCharType="separate"/>
          </w:r>
          <w:r>
            <w:t>- 87 -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_Toc26951 </w:instrText>
          </w:r>
          <w:r>
            <w:rPr>
              <w:rFonts w:cs="Times New Roman"/>
              <w:szCs w:val="32"/>
            </w:rPr>
            <w:fldChar w:fldCharType="separate"/>
          </w:r>
          <w:r>
            <w:rPr>
              <w:rFonts w:ascii="Times New Roman" w:hAnsi="Times New Roman" w:eastAsia="方正小标宋简体" w:cs="Times New Roman"/>
              <w:w w:val="82"/>
              <w:szCs w:val="44"/>
            </w:rPr>
            <w:t>第十三章 建设智慧神木，</w:t>
          </w:r>
          <w:r>
            <w:rPr>
              <w:rFonts w:hint="eastAsia" w:ascii="Times New Roman" w:hAnsi="Times New Roman" w:eastAsia="方正小标宋简体" w:cs="Times New Roman"/>
              <w:w w:val="82"/>
              <w:szCs w:val="44"/>
              <w:lang w:val="en-US" w:eastAsia="zh-CN"/>
            </w:rPr>
            <w:t>实现社会</w:t>
          </w:r>
          <w:r>
            <w:rPr>
              <w:rFonts w:ascii="Times New Roman" w:hAnsi="Times New Roman" w:eastAsia="方正小标宋简体" w:cs="Times New Roman"/>
              <w:w w:val="82"/>
              <w:szCs w:val="44"/>
            </w:rPr>
            <w:t>治理</w:t>
          </w:r>
          <w:r>
            <w:rPr>
              <w:rFonts w:hint="eastAsia" w:ascii="Times New Roman" w:hAnsi="Times New Roman" w:eastAsia="方正小标宋简体" w:cs="Times New Roman"/>
              <w:w w:val="82"/>
              <w:szCs w:val="44"/>
              <w:lang w:val="en-US" w:eastAsia="zh-CN"/>
            </w:rPr>
            <w:t>现代化</w:t>
          </w:r>
          <w:r>
            <w:rPr>
              <w:rFonts w:ascii="Times New Roman" w:hAnsi="Times New Roman" w:eastAsia="方正小标宋简体" w:cs="Times New Roman"/>
              <w:w w:val="82"/>
              <w:szCs w:val="44"/>
            </w:rPr>
            <w:t>新</w:t>
          </w:r>
          <w:r>
            <w:rPr>
              <w:rFonts w:hint="eastAsia" w:ascii="Times New Roman" w:hAnsi="Times New Roman" w:eastAsia="方正小标宋简体" w:cs="Times New Roman"/>
              <w:w w:val="82"/>
              <w:szCs w:val="44"/>
              <w:lang w:val="en-US" w:eastAsia="zh-CN"/>
            </w:rPr>
            <w:t>提升</w:t>
          </w:r>
          <w:r>
            <w:tab/>
          </w:r>
          <w:r>
            <w:fldChar w:fldCharType="begin"/>
          </w:r>
          <w:r>
            <w:instrText xml:space="preserve"> PAGEREF _Toc26951 \h </w:instrText>
          </w:r>
          <w:r>
            <w:fldChar w:fldCharType="separate"/>
          </w:r>
          <w:r>
            <w:t>- 89 -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_Toc3466 </w:instrText>
          </w:r>
          <w:r>
            <w:rPr>
              <w:rFonts w:cs="Times New Roman"/>
              <w:szCs w:val="32"/>
            </w:rPr>
            <w:fldChar w:fldCharType="separate"/>
          </w:r>
          <w:r>
            <w:rPr>
              <w:rFonts w:hint="eastAsia" w:ascii="楷体_GB2312" w:hAnsi="楷体_GB2312" w:eastAsia="楷体_GB2312" w:cs="楷体_GB2312"/>
              <w:bCs/>
              <w:szCs w:val="32"/>
            </w:rPr>
            <w:t>第一节 加快智慧神木建设</w:t>
          </w:r>
          <w:r>
            <w:tab/>
          </w:r>
          <w:r>
            <w:fldChar w:fldCharType="begin"/>
          </w:r>
          <w:r>
            <w:instrText xml:space="preserve"> PAGEREF _Toc3466 \h </w:instrText>
          </w:r>
          <w:r>
            <w:fldChar w:fldCharType="separate"/>
          </w:r>
          <w:r>
            <w:t>- 89 -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_Toc32043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val="en-US" w:eastAsia="zh-CN"/>
            </w:rPr>
            <w:t>二</w:t>
          </w:r>
          <w:r>
            <w:rPr>
              <w:rFonts w:hint="eastAsia" w:ascii="楷体_GB2312" w:hAnsi="楷体_GB2312" w:eastAsia="楷体_GB2312" w:cs="楷体_GB2312"/>
              <w:bCs/>
              <w:szCs w:val="32"/>
            </w:rPr>
            <w:t xml:space="preserve">节 </w:t>
          </w:r>
          <w:r>
            <w:rPr>
              <w:rFonts w:hint="eastAsia" w:ascii="楷体_GB2312" w:hAnsi="楷体_GB2312" w:eastAsia="楷体_GB2312" w:cs="楷体_GB2312"/>
              <w:bCs/>
              <w:szCs w:val="32"/>
              <w:lang w:val="en-US" w:eastAsia="zh-CN"/>
            </w:rPr>
            <w:t>加强和创新社会治理</w:t>
          </w:r>
          <w:r>
            <w:tab/>
          </w:r>
          <w:r>
            <w:fldChar w:fldCharType="begin"/>
          </w:r>
          <w:r>
            <w:instrText xml:space="preserve"> PAGEREF _Toc32043 \h </w:instrText>
          </w:r>
          <w:r>
            <w:fldChar w:fldCharType="separate"/>
          </w:r>
          <w:r>
            <w:t>- 91 -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_Toc30656 </w:instrText>
          </w:r>
          <w:r>
            <w:rPr>
              <w:rFonts w:cs="Times New Roman"/>
              <w:szCs w:val="32"/>
            </w:rPr>
            <w:fldChar w:fldCharType="separate"/>
          </w:r>
          <w:r>
            <w:rPr>
              <w:rFonts w:hint="eastAsia" w:ascii="楷体_GB2312" w:hAnsi="楷体_GB2312" w:eastAsia="楷体_GB2312" w:cs="楷体_GB2312"/>
              <w:bCs/>
              <w:szCs w:val="32"/>
            </w:rPr>
            <w:t>第</w:t>
          </w:r>
          <w:r>
            <w:rPr>
              <w:rFonts w:hint="eastAsia" w:ascii="楷体_GB2312" w:hAnsi="楷体_GB2312" w:eastAsia="楷体_GB2312" w:cs="楷体_GB2312"/>
              <w:bCs/>
              <w:szCs w:val="32"/>
              <w:lang w:val="en-US" w:eastAsia="zh-CN"/>
            </w:rPr>
            <w:t>三</w:t>
          </w:r>
          <w:r>
            <w:rPr>
              <w:rFonts w:hint="eastAsia" w:ascii="楷体_GB2312" w:hAnsi="楷体_GB2312" w:eastAsia="楷体_GB2312" w:cs="楷体_GB2312"/>
              <w:bCs/>
              <w:szCs w:val="32"/>
            </w:rPr>
            <w:t xml:space="preserve">节 </w:t>
          </w:r>
          <w:r>
            <w:rPr>
              <w:rFonts w:hint="eastAsia" w:ascii="楷体_GB2312" w:hAnsi="楷体_GB2312" w:eastAsia="楷体_GB2312" w:cs="楷体_GB2312"/>
              <w:bCs/>
              <w:szCs w:val="32"/>
              <w:lang w:eastAsia="zh-CN"/>
            </w:rPr>
            <w:t>统筹发展与安全</w:t>
          </w:r>
          <w:r>
            <w:tab/>
          </w:r>
          <w:r>
            <w:fldChar w:fldCharType="begin"/>
          </w:r>
          <w:r>
            <w:instrText xml:space="preserve"> PAGEREF _Toc30656 \h </w:instrText>
          </w:r>
          <w:r>
            <w:fldChar w:fldCharType="separate"/>
          </w:r>
          <w:r>
            <w:t>- 92 -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_Toc20361 </w:instrText>
          </w:r>
          <w:r>
            <w:rPr>
              <w:rFonts w:cs="Times New Roman"/>
              <w:szCs w:val="32"/>
            </w:rPr>
            <w:fldChar w:fldCharType="separate"/>
          </w:r>
          <w:r>
            <w:rPr>
              <w:rFonts w:hint="eastAsia" w:ascii="楷体_GB2312" w:hAnsi="楷体_GB2312" w:eastAsia="楷体_GB2312" w:cs="楷体_GB2312"/>
              <w:bCs/>
              <w:szCs w:val="32"/>
              <w:lang w:val="en-US" w:eastAsia="zh-CN"/>
            </w:rPr>
            <w:t>第四节 建设法治神木</w:t>
          </w:r>
          <w:r>
            <w:tab/>
          </w:r>
          <w:r>
            <w:fldChar w:fldCharType="begin"/>
          </w:r>
          <w:r>
            <w:instrText xml:space="preserve"> PAGEREF _Toc20361 \h </w:instrText>
          </w:r>
          <w:r>
            <w:fldChar w:fldCharType="separate"/>
          </w:r>
          <w:r>
            <w:t>- 93 -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_Toc17864 </w:instrText>
          </w:r>
          <w:r>
            <w:rPr>
              <w:rFonts w:cs="Times New Roman"/>
              <w:szCs w:val="32"/>
            </w:rPr>
            <w:fldChar w:fldCharType="separate"/>
          </w:r>
          <w:r>
            <w:rPr>
              <w:rFonts w:hint="eastAsia" w:ascii="楷体_GB2312" w:hAnsi="楷体_GB2312" w:eastAsia="楷体_GB2312" w:cs="楷体_GB2312"/>
              <w:bCs/>
              <w:szCs w:val="32"/>
              <w:lang w:val="en-US" w:eastAsia="zh-CN"/>
            </w:rPr>
            <w:t>第五节 推进社会信用体系建设</w:t>
          </w:r>
          <w:r>
            <w:tab/>
          </w:r>
          <w:r>
            <w:fldChar w:fldCharType="begin"/>
          </w:r>
          <w:r>
            <w:instrText xml:space="preserve"> PAGEREF _Toc17864 \h </w:instrText>
          </w:r>
          <w:r>
            <w:fldChar w:fldCharType="separate"/>
          </w:r>
          <w:r>
            <w:t>- 94 -</w:t>
          </w:r>
          <w:r>
            <w:fldChar w:fldCharType="end"/>
          </w:r>
          <w:r>
            <w:rPr>
              <w:rFonts w:cs="Times New Roman"/>
              <w:szCs w:val="32"/>
            </w:rPr>
            <w:fldChar w:fldCharType="end"/>
          </w:r>
        </w:p>
        <w:p>
          <w:pPr>
            <w:pStyle w:val="17"/>
            <w:tabs>
              <w:tab w:val="right" w:leader="dot" w:pos="8306"/>
            </w:tabs>
          </w:pPr>
          <w:r>
            <w:rPr>
              <w:rFonts w:cs="Times New Roman"/>
              <w:szCs w:val="32"/>
            </w:rPr>
            <w:fldChar w:fldCharType="begin"/>
          </w:r>
          <w:r>
            <w:rPr>
              <w:rFonts w:cs="Times New Roman"/>
              <w:szCs w:val="32"/>
            </w:rPr>
            <w:instrText xml:space="preserve"> HYPERLINK \l _Toc11692 </w:instrText>
          </w:r>
          <w:r>
            <w:rPr>
              <w:rFonts w:cs="Times New Roman"/>
              <w:szCs w:val="32"/>
            </w:rPr>
            <w:fldChar w:fldCharType="separate"/>
          </w:r>
          <w:r>
            <w:rPr>
              <w:rFonts w:ascii="Times New Roman" w:hAnsi="Times New Roman" w:eastAsia="方正小标宋简体" w:cs="Times New Roman"/>
              <w:w w:val="82"/>
              <w:szCs w:val="44"/>
            </w:rPr>
            <w:t xml:space="preserve">第十四章 </w:t>
          </w:r>
          <w:r>
            <w:rPr>
              <w:rFonts w:hint="eastAsia" w:ascii="Times New Roman" w:hAnsi="Times New Roman" w:eastAsia="方正小标宋简体" w:cs="Times New Roman"/>
              <w:w w:val="82"/>
              <w:szCs w:val="44"/>
              <w:lang w:val="en-US" w:eastAsia="zh-CN"/>
            </w:rPr>
            <w:t>坚持规划引领，确保目标和任务取得新成效</w:t>
          </w:r>
          <w:r>
            <w:tab/>
          </w:r>
          <w:r>
            <w:fldChar w:fldCharType="begin"/>
          </w:r>
          <w:r>
            <w:instrText xml:space="preserve"> PAGEREF _Toc11692 \h </w:instrText>
          </w:r>
          <w:r>
            <w:fldChar w:fldCharType="separate"/>
          </w:r>
          <w:r>
            <w:t>- 95 -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_Toc3017 </w:instrText>
          </w:r>
          <w:r>
            <w:rPr>
              <w:rFonts w:cs="Times New Roman"/>
              <w:szCs w:val="32"/>
            </w:rPr>
            <w:fldChar w:fldCharType="separate"/>
          </w:r>
          <w:r>
            <w:rPr>
              <w:rFonts w:hint="eastAsia" w:ascii="楷体_GB2312" w:hAnsi="楷体_GB2312" w:eastAsia="楷体_GB2312" w:cs="楷体_GB2312"/>
              <w:bCs/>
              <w:szCs w:val="32"/>
              <w:lang w:val="en-US" w:eastAsia="zh-CN"/>
            </w:rPr>
            <w:t>第一节 加强和完善党的领导</w:t>
          </w:r>
          <w:r>
            <w:tab/>
          </w:r>
          <w:r>
            <w:fldChar w:fldCharType="begin"/>
          </w:r>
          <w:r>
            <w:instrText xml:space="preserve"> PAGEREF _Toc3017 \h </w:instrText>
          </w:r>
          <w:r>
            <w:fldChar w:fldCharType="separate"/>
          </w:r>
          <w:r>
            <w:t>- 95 -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_Toc3841 </w:instrText>
          </w:r>
          <w:r>
            <w:rPr>
              <w:rFonts w:cs="Times New Roman"/>
              <w:szCs w:val="32"/>
            </w:rPr>
            <w:fldChar w:fldCharType="separate"/>
          </w:r>
          <w:r>
            <w:rPr>
              <w:rFonts w:hint="eastAsia" w:ascii="楷体_GB2312" w:hAnsi="楷体_GB2312" w:eastAsia="楷体_GB2312" w:cs="楷体_GB2312"/>
              <w:bCs/>
              <w:szCs w:val="32"/>
              <w:lang w:val="en-US" w:eastAsia="zh-CN"/>
            </w:rPr>
            <w:t>第二节 健全规划实施体系</w:t>
          </w:r>
          <w:r>
            <w:tab/>
          </w:r>
          <w:r>
            <w:fldChar w:fldCharType="begin"/>
          </w:r>
          <w:r>
            <w:instrText xml:space="preserve"> PAGEREF _Toc3841 \h </w:instrText>
          </w:r>
          <w:r>
            <w:fldChar w:fldCharType="separate"/>
          </w:r>
          <w:r>
            <w:t>- 95 -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_Toc20445 </w:instrText>
          </w:r>
          <w:r>
            <w:rPr>
              <w:rFonts w:cs="Times New Roman"/>
              <w:szCs w:val="32"/>
            </w:rPr>
            <w:fldChar w:fldCharType="separate"/>
          </w:r>
          <w:r>
            <w:rPr>
              <w:rFonts w:hint="eastAsia" w:ascii="楷体_GB2312" w:hAnsi="楷体_GB2312" w:eastAsia="楷体_GB2312" w:cs="楷体_GB2312"/>
              <w:bCs/>
              <w:szCs w:val="32"/>
              <w:lang w:val="en-US" w:eastAsia="zh-CN"/>
            </w:rPr>
            <w:t>第三节 加强政策和项目配套</w:t>
          </w:r>
          <w:r>
            <w:tab/>
          </w:r>
          <w:r>
            <w:fldChar w:fldCharType="begin"/>
          </w:r>
          <w:r>
            <w:instrText xml:space="preserve"> PAGEREF _Toc20445 \h </w:instrText>
          </w:r>
          <w:r>
            <w:fldChar w:fldCharType="separate"/>
          </w:r>
          <w:r>
            <w:t>- 96 -</w:t>
          </w:r>
          <w:r>
            <w:fldChar w:fldCharType="end"/>
          </w:r>
          <w:r>
            <w:rPr>
              <w:rFonts w:cs="Times New Roman"/>
              <w:szCs w:val="32"/>
            </w:rPr>
            <w:fldChar w:fldCharType="end"/>
          </w:r>
        </w:p>
        <w:p>
          <w:pPr>
            <w:pStyle w:val="19"/>
            <w:tabs>
              <w:tab w:val="right" w:leader="dot" w:pos="8306"/>
            </w:tabs>
          </w:pPr>
          <w:r>
            <w:rPr>
              <w:rFonts w:cs="Times New Roman"/>
              <w:szCs w:val="32"/>
            </w:rPr>
            <w:fldChar w:fldCharType="begin"/>
          </w:r>
          <w:r>
            <w:rPr>
              <w:rFonts w:cs="Times New Roman"/>
              <w:szCs w:val="32"/>
            </w:rPr>
            <w:instrText xml:space="preserve"> HYPERLINK \l _Toc1073 </w:instrText>
          </w:r>
          <w:r>
            <w:rPr>
              <w:rFonts w:cs="Times New Roman"/>
              <w:szCs w:val="32"/>
            </w:rPr>
            <w:fldChar w:fldCharType="separate"/>
          </w:r>
          <w:r>
            <w:rPr>
              <w:rFonts w:hint="eastAsia" w:ascii="楷体_GB2312" w:hAnsi="楷体_GB2312" w:eastAsia="楷体_GB2312" w:cs="楷体_GB2312"/>
              <w:bCs/>
              <w:szCs w:val="32"/>
              <w:lang w:val="en-US" w:eastAsia="zh-CN"/>
            </w:rPr>
            <w:t>第四节 强化实施监督评估</w:t>
          </w:r>
          <w:r>
            <w:tab/>
          </w:r>
          <w:r>
            <w:fldChar w:fldCharType="begin"/>
          </w:r>
          <w:r>
            <w:instrText xml:space="preserve"> PAGEREF _Toc1073 \h </w:instrText>
          </w:r>
          <w:r>
            <w:fldChar w:fldCharType="separate"/>
          </w:r>
          <w:r>
            <w:t>- 96 -</w:t>
          </w:r>
          <w:r>
            <w:fldChar w:fldCharType="end"/>
          </w:r>
          <w:r>
            <w:rPr>
              <w:rFonts w:cs="Times New Roman"/>
              <w:szCs w:val="32"/>
            </w:rPr>
            <w:fldChar w:fldCharType="end"/>
          </w:r>
        </w:p>
        <w:p>
          <w:pPr>
            <w:ind w:firstLine="0" w:firstLineChars="0"/>
            <w:rPr>
              <w:rFonts w:cs="Times New Roma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hapStyle="1"/>
              <w:cols w:space="425" w:num="1"/>
              <w:docGrid w:type="lines" w:linePitch="312" w:charSpace="0"/>
            </w:sectPr>
          </w:pPr>
          <w:r>
            <w:rPr>
              <w:rFonts w:cs="Times New Roman"/>
              <w:szCs w:val="32"/>
            </w:rPr>
            <w:fldChar w:fldCharType="end"/>
          </w:r>
        </w:p>
      </w:sdtContent>
    </w:sd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方正小标宋简体" w:hAnsi="方正小标宋简体" w:eastAsia="方正小标宋简体" w:cs="方正小标宋简体"/>
          <w:kern w:val="2"/>
          <w:sz w:val="44"/>
          <w:szCs w:val="44"/>
        </w:rPr>
      </w:pPr>
      <w:bookmarkStart w:id="0" w:name="_Toc27393"/>
      <w:r>
        <w:rPr>
          <w:rFonts w:hint="eastAsia" w:ascii="方正小标宋简体" w:hAnsi="方正小标宋简体" w:eastAsia="方正小标宋简体" w:cs="方正小标宋简体"/>
          <w:kern w:val="2"/>
          <w:sz w:val="44"/>
          <w:szCs w:val="44"/>
        </w:rPr>
        <w:t>前  言</w:t>
      </w:r>
      <w:bookmarkEnd w:id="0"/>
    </w:p>
    <w:p>
      <w:pPr>
        <w:keepNext w:val="0"/>
        <w:keepLines w:val="0"/>
        <w:pageBreakBefore w:val="0"/>
        <w:widowControl w:val="0"/>
        <w:kinsoku/>
        <w:wordWrap/>
        <w:overflowPunct/>
        <w:topLinePunct w:val="0"/>
        <w:autoSpaceDE/>
        <w:autoSpaceDN/>
        <w:bidi w:val="0"/>
        <w:spacing w:line="620" w:lineRule="exact"/>
        <w:ind w:firstLine="640"/>
        <w:jc w:val="both"/>
        <w:textAlignment w:val="auto"/>
        <w:rPr>
          <w:rFonts w:hint="eastAsia" w:cs="Times New Roman"/>
          <w:sz w:val="32"/>
          <w:szCs w:val="32"/>
          <w:lang w:val="en-US" w:eastAsia="zh-CN"/>
        </w:rPr>
      </w:pPr>
    </w:p>
    <w:p>
      <w:pPr>
        <w:keepNext w:val="0"/>
        <w:keepLines w:val="0"/>
        <w:pageBreakBefore w:val="0"/>
        <w:widowControl w:val="0"/>
        <w:kinsoku/>
        <w:wordWrap/>
        <w:overflowPunct/>
        <w:topLinePunct w:val="0"/>
        <w:autoSpaceDE/>
        <w:autoSpaceDN/>
        <w:bidi w:val="0"/>
        <w:spacing w:line="576" w:lineRule="exact"/>
        <w:ind w:firstLine="640"/>
        <w:jc w:val="both"/>
        <w:textAlignment w:val="auto"/>
        <w:rPr>
          <w:rFonts w:hint="eastAsia" w:cs="Times New Roman"/>
          <w:sz w:val="32"/>
          <w:szCs w:val="32"/>
          <w:lang w:val="en-US" w:eastAsia="zh-CN"/>
        </w:rPr>
      </w:pPr>
      <w:r>
        <w:rPr>
          <w:rFonts w:hint="eastAsia" w:cs="Times New Roman"/>
          <w:sz w:val="32"/>
          <w:szCs w:val="32"/>
          <w:lang w:val="en-US" w:eastAsia="zh-CN"/>
        </w:rPr>
        <w:t>神木市地处秦晋蒙三省区交界处，是国家“西煤东运”“西气东输”“西电东送”的重要输出地。“十五”以来，随着煤炭资源的开发利用，神木经济社会发生了巨大的变化，实现了传统农业向现代能源化工、贫困落后向富裕繁荣的历史性转变，成为国家级陕北能源化工基地核心区，是全省、西部县域经济领头羊。</w:t>
      </w:r>
    </w:p>
    <w:p>
      <w:pPr>
        <w:keepNext w:val="0"/>
        <w:keepLines w:val="0"/>
        <w:pageBreakBefore w:val="0"/>
        <w:widowControl w:val="0"/>
        <w:kinsoku/>
        <w:wordWrap/>
        <w:overflowPunct/>
        <w:topLinePunct w:val="0"/>
        <w:autoSpaceDE/>
        <w:autoSpaceDN/>
        <w:bidi w:val="0"/>
        <w:spacing w:line="576" w:lineRule="exact"/>
        <w:ind w:firstLine="640"/>
        <w:jc w:val="both"/>
        <w:textAlignment w:val="auto"/>
        <w:rPr>
          <w:rFonts w:cs="Times New Roman"/>
          <w:color w:val="000000"/>
          <w:sz w:val="32"/>
          <w:szCs w:val="32"/>
        </w:rPr>
      </w:pPr>
      <w:r>
        <w:rPr>
          <w:rFonts w:cs="Times New Roman"/>
          <w:sz w:val="32"/>
          <w:szCs w:val="32"/>
        </w:rPr>
        <w:t>“十四五”</w:t>
      </w:r>
      <w:r>
        <w:rPr>
          <w:rFonts w:hint="eastAsia" w:cs="Times New Roman"/>
          <w:sz w:val="32"/>
          <w:szCs w:val="32"/>
        </w:rPr>
        <w:t>和今后一个时期</w:t>
      </w:r>
      <w:r>
        <w:rPr>
          <w:rFonts w:cs="Times New Roman"/>
          <w:sz w:val="32"/>
          <w:szCs w:val="32"/>
        </w:rPr>
        <w:t>是</w:t>
      </w:r>
      <w:r>
        <w:rPr>
          <w:rFonts w:hint="eastAsia" w:cs="Times New Roman"/>
          <w:sz w:val="32"/>
          <w:szCs w:val="32"/>
        </w:rPr>
        <w:t>全面</w:t>
      </w:r>
      <w:r>
        <w:rPr>
          <w:rFonts w:cs="Times New Roman"/>
          <w:sz w:val="32"/>
          <w:szCs w:val="32"/>
        </w:rPr>
        <w:t>贯彻</w:t>
      </w:r>
      <w:r>
        <w:rPr>
          <w:rFonts w:hint="eastAsia" w:cs="Times New Roman"/>
          <w:sz w:val="32"/>
          <w:szCs w:val="32"/>
        </w:rPr>
        <w:t>落实</w:t>
      </w:r>
      <w:r>
        <w:rPr>
          <w:rFonts w:hint="eastAsia" w:cs="Times New Roman"/>
          <w:sz w:val="32"/>
          <w:szCs w:val="32"/>
          <w:lang w:eastAsia="zh-CN"/>
        </w:rPr>
        <w:t>习近平新时代中国特色社会主义思想</w:t>
      </w:r>
      <w:r>
        <w:rPr>
          <w:rFonts w:hint="eastAsia" w:cs="Times New Roman"/>
          <w:sz w:val="32"/>
          <w:szCs w:val="32"/>
        </w:rPr>
        <w:t>和</w:t>
      </w:r>
      <w:r>
        <w:rPr>
          <w:rFonts w:cs="Times New Roman"/>
          <w:sz w:val="32"/>
          <w:szCs w:val="32"/>
        </w:rPr>
        <w:t>总书记来陕考察重要讲话精神，奋力谱写神木新时代追赶超越新篇章</w:t>
      </w:r>
      <w:r>
        <w:rPr>
          <w:rFonts w:hint="eastAsia" w:cs="Times New Roman"/>
          <w:sz w:val="32"/>
          <w:szCs w:val="32"/>
          <w:lang w:eastAsia="zh-CN"/>
        </w:rPr>
        <w:t>，</w:t>
      </w:r>
      <w:r>
        <w:rPr>
          <w:rFonts w:cs="Times New Roman"/>
          <w:sz w:val="32"/>
          <w:szCs w:val="32"/>
        </w:rPr>
        <w:t>开启全面建设社会主义现代化新征程</w:t>
      </w:r>
      <w:r>
        <w:rPr>
          <w:rFonts w:hint="eastAsia" w:cs="Times New Roman"/>
          <w:sz w:val="32"/>
          <w:szCs w:val="32"/>
        </w:rPr>
        <w:t>的重要时期</w:t>
      </w:r>
      <w:r>
        <w:rPr>
          <w:rFonts w:cs="Times New Roman"/>
          <w:sz w:val="32"/>
          <w:szCs w:val="32"/>
        </w:rPr>
        <w:t>。</w:t>
      </w:r>
      <w:r>
        <w:rPr>
          <w:rFonts w:hint="eastAsia" w:cs="Times New Roman"/>
          <w:sz w:val="32"/>
          <w:szCs w:val="32"/>
          <w:lang w:val="en-US" w:eastAsia="zh-CN"/>
        </w:rPr>
        <w:t>全面</w:t>
      </w:r>
      <w:r>
        <w:rPr>
          <w:rFonts w:cs="Times New Roman"/>
          <w:sz w:val="32"/>
          <w:szCs w:val="32"/>
        </w:rPr>
        <w:t>认识国际</w:t>
      </w:r>
      <w:r>
        <w:rPr>
          <w:rFonts w:hint="eastAsia" w:cs="Times New Roman"/>
          <w:sz w:val="32"/>
          <w:szCs w:val="32"/>
          <w:lang w:val="en-US" w:eastAsia="zh-CN"/>
        </w:rPr>
        <w:t>形势新变化，深刻理解我</w:t>
      </w:r>
      <w:r>
        <w:rPr>
          <w:rFonts w:cs="Times New Roman"/>
          <w:sz w:val="32"/>
          <w:szCs w:val="32"/>
        </w:rPr>
        <w:t>国</w:t>
      </w:r>
      <w:r>
        <w:rPr>
          <w:rFonts w:hint="eastAsia" w:cs="Times New Roman"/>
          <w:sz w:val="32"/>
          <w:szCs w:val="32"/>
          <w:lang w:val="en-US" w:eastAsia="zh-CN"/>
        </w:rPr>
        <w:t>经济社会新</w:t>
      </w:r>
      <w:r>
        <w:rPr>
          <w:rFonts w:cs="Times New Roman"/>
          <w:sz w:val="32"/>
          <w:szCs w:val="32"/>
        </w:rPr>
        <w:t>发展</w:t>
      </w:r>
      <w:r>
        <w:rPr>
          <w:rFonts w:hint="eastAsia" w:cs="Times New Roman"/>
          <w:sz w:val="32"/>
          <w:szCs w:val="32"/>
          <w:lang w:val="en-US" w:eastAsia="zh-CN"/>
        </w:rPr>
        <w:t>阶段，准确把握</w:t>
      </w:r>
      <w:r>
        <w:rPr>
          <w:rFonts w:cs="Times New Roman"/>
          <w:sz w:val="32"/>
          <w:szCs w:val="32"/>
        </w:rPr>
        <w:t>神木经济社会发展新特点新要求，</w:t>
      </w:r>
      <w:r>
        <w:rPr>
          <w:rFonts w:hint="eastAsia" w:cs="Times New Roman"/>
          <w:sz w:val="32"/>
          <w:szCs w:val="32"/>
          <w:lang w:val="en-US" w:eastAsia="zh-CN"/>
        </w:rPr>
        <w:t>聚焦碳达峰和碳中和，抢抓“双循环”新发展格局带来的新机遇，</w:t>
      </w:r>
      <w:r>
        <w:rPr>
          <w:rFonts w:cs="Times New Roman"/>
          <w:sz w:val="32"/>
          <w:szCs w:val="32"/>
        </w:rPr>
        <w:t>科学制定“十四五”规划</w:t>
      </w:r>
      <w:r>
        <w:rPr>
          <w:rFonts w:hint="eastAsia" w:cs="Times New Roman"/>
          <w:sz w:val="32"/>
          <w:szCs w:val="32"/>
          <w:lang w:val="en-US" w:eastAsia="zh-CN"/>
        </w:rPr>
        <w:t>和二O三五</w:t>
      </w:r>
      <w:r>
        <w:rPr>
          <w:rFonts w:hint="eastAsia" w:cs="Times New Roman"/>
          <w:sz w:val="32"/>
          <w:szCs w:val="32"/>
        </w:rPr>
        <w:t>年</w:t>
      </w:r>
      <w:r>
        <w:rPr>
          <w:rFonts w:hint="eastAsia" w:cs="Times New Roman"/>
          <w:sz w:val="32"/>
          <w:szCs w:val="32"/>
          <w:lang w:val="en-US" w:eastAsia="zh-CN"/>
        </w:rPr>
        <w:t>远景目标</w:t>
      </w:r>
      <w:r>
        <w:rPr>
          <w:rFonts w:cs="Times New Roman"/>
          <w:sz w:val="32"/>
          <w:szCs w:val="32"/>
        </w:rPr>
        <w:t>，对神木推进</w:t>
      </w:r>
      <w:r>
        <w:rPr>
          <w:rFonts w:hint="eastAsia" w:cs="Times New Roman"/>
          <w:sz w:val="32"/>
          <w:szCs w:val="32"/>
          <w:lang w:val="en-US" w:eastAsia="zh-CN"/>
        </w:rPr>
        <w:t>经济社会高质量发展</w:t>
      </w:r>
      <w:r>
        <w:rPr>
          <w:rFonts w:cs="Times New Roman"/>
          <w:sz w:val="32"/>
          <w:szCs w:val="32"/>
        </w:rPr>
        <w:t>，建设黄河</w:t>
      </w:r>
      <w:r>
        <w:rPr>
          <w:rFonts w:hint="eastAsia" w:cs="Times New Roman"/>
          <w:sz w:val="32"/>
          <w:szCs w:val="32"/>
          <w:lang w:val="en-US" w:eastAsia="zh-CN"/>
        </w:rPr>
        <w:t>“几”字弯城市群高质量发展示范市</w:t>
      </w:r>
      <w:r>
        <w:rPr>
          <w:rFonts w:cs="Times New Roman"/>
          <w:sz w:val="32"/>
          <w:szCs w:val="32"/>
        </w:rPr>
        <w:t>意义重大。</w:t>
      </w:r>
      <w:r>
        <w:rPr>
          <w:rFonts w:cs="Times New Roman"/>
          <w:color w:val="000000"/>
          <w:sz w:val="32"/>
          <w:szCs w:val="32"/>
        </w:rPr>
        <w:t>根据国家、省市关于“十四五”规划要求，编制</w:t>
      </w:r>
      <w:r>
        <w:rPr>
          <w:rFonts w:hint="eastAsia" w:cs="Times New Roman"/>
          <w:color w:val="000000"/>
          <w:sz w:val="32"/>
          <w:szCs w:val="32"/>
          <w:lang w:val="en-US" w:eastAsia="zh-CN"/>
        </w:rPr>
        <w:t>本规划</w:t>
      </w:r>
      <w:r>
        <w:rPr>
          <w:rFonts w:cs="Times New Roman"/>
          <w:color w:val="000000"/>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color w:val="000000"/>
          <w:sz w:val="32"/>
          <w:szCs w:val="32"/>
        </w:rPr>
      </w:pPr>
      <w:r>
        <w:rPr>
          <w:rFonts w:hint="eastAsia" w:cs="Times New Roman"/>
          <w:color w:val="000000"/>
          <w:sz w:val="32"/>
          <w:szCs w:val="32"/>
          <w:lang w:val="en-US" w:eastAsia="zh-CN"/>
        </w:rPr>
        <w:t>本规划</w:t>
      </w:r>
      <w:r>
        <w:rPr>
          <w:rFonts w:cs="Times New Roman"/>
          <w:color w:val="000000"/>
          <w:sz w:val="32"/>
          <w:szCs w:val="32"/>
        </w:rPr>
        <w:t>由文本、专栏、图</w:t>
      </w:r>
      <w:r>
        <w:rPr>
          <w:rFonts w:hint="eastAsia" w:cs="Times New Roman"/>
          <w:color w:val="000000"/>
          <w:sz w:val="32"/>
          <w:szCs w:val="32"/>
          <w:lang w:eastAsia="zh-CN"/>
        </w:rPr>
        <w:t>表</w:t>
      </w:r>
      <w:r>
        <w:rPr>
          <w:rFonts w:cs="Times New Roman"/>
          <w:color w:val="000000"/>
          <w:sz w:val="32"/>
          <w:szCs w:val="32"/>
        </w:rPr>
        <w:t>、重</w:t>
      </w:r>
      <w:r>
        <w:rPr>
          <w:rFonts w:hint="eastAsia" w:cs="Times New Roman"/>
          <w:color w:val="000000"/>
          <w:sz w:val="32"/>
          <w:szCs w:val="32"/>
          <w:lang w:eastAsia="zh-CN"/>
        </w:rPr>
        <w:t>点</w:t>
      </w:r>
      <w:r>
        <w:rPr>
          <w:rFonts w:cs="Times New Roman"/>
          <w:color w:val="000000"/>
          <w:sz w:val="32"/>
          <w:szCs w:val="32"/>
        </w:rPr>
        <w:t>项目组成</w:t>
      </w:r>
      <w:r>
        <w:rPr>
          <w:rFonts w:hint="eastAsia" w:cs="Times New Roman"/>
          <w:color w:val="000000"/>
          <w:sz w:val="32"/>
          <w:szCs w:val="32"/>
          <w:lang w:eastAsia="zh-CN"/>
        </w:rPr>
        <w:t>，</w:t>
      </w:r>
      <w:r>
        <w:rPr>
          <w:rFonts w:hint="eastAsia" w:cs="Times New Roman"/>
          <w:color w:val="000000"/>
          <w:sz w:val="32"/>
          <w:szCs w:val="32"/>
          <w:lang w:val="en-US" w:eastAsia="zh-CN"/>
        </w:rPr>
        <w:t>是各镇街、部门、园区依法履行职责、编制规划、出台政策、制定年度计划、实施重大项目的重要依据</w:t>
      </w:r>
      <w:r>
        <w:rPr>
          <w:rFonts w:cs="Times New Roman"/>
          <w:color w:val="000000"/>
          <w:sz w:val="32"/>
          <w:szCs w:val="32"/>
        </w:rPr>
        <w:t>。</w:t>
      </w:r>
    </w:p>
    <w:p>
      <w:pPr>
        <w:pStyle w:val="10"/>
        <w:rPr>
          <w:rFonts w:cs="Times New Roman"/>
          <w:color w:val="000000"/>
          <w:sz w:val="32"/>
          <w:szCs w:val="32"/>
        </w:rPr>
        <w:sectPr>
          <w:footerReference r:id="rId12" w:type="default"/>
          <w:pgSz w:w="11850" w:h="16783"/>
          <w:pgMar w:top="2098" w:right="1474" w:bottom="2041" w:left="1587" w:header="851" w:footer="1134" w:gutter="0"/>
          <w:pgBorders>
            <w:top w:val="none" w:sz="0" w:space="0"/>
            <w:left w:val="none" w:sz="0" w:space="0"/>
            <w:bottom w:val="none" w:sz="0" w:space="0"/>
            <w:right w:val="none" w:sz="0" w:space="0"/>
          </w:pgBorders>
          <w:pgNumType w:fmt="numberInDash" w:start="1" w:chapStyle="1"/>
          <w:cols w:space="0" w:num="1"/>
          <w:rtlGutter w:val="0"/>
          <w:docGrid w:type="lines" w:linePitch="384" w:charSpace="0"/>
        </w:sectPr>
      </w:pPr>
    </w:p>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rPr>
          <w:rFonts w:cs="Times New Roman"/>
          <w:color w:val="000000"/>
          <w:sz w:val="32"/>
          <w:szCs w:val="32"/>
        </w:rPr>
      </w:pPr>
    </w:p>
    <w:p>
      <w:pPr>
        <w:rPr>
          <w:rFonts w:cs="Times New Roman"/>
          <w:color w:val="000000"/>
          <w:sz w:val="32"/>
          <w:szCs w:val="32"/>
        </w:rPr>
      </w:pPr>
    </w:p>
    <w:p>
      <w:pPr>
        <w:pStyle w:val="10"/>
        <w:ind w:left="0" w:leftChars="0" w:firstLine="0" w:firstLineChars="0"/>
        <w:rPr>
          <w:rFonts w:cs="Times New Roman"/>
          <w:color w:val="000000"/>
          <w:sz w:val="32"/>
          <w:szCs w:val="32"/>
        </w:rPr>
      </w:pPr>
    </w:p>
    <w:p/>
    <w:p>
      <w:pPr>
        <w:pStyle w:val="3"/>
        <w:ind w:left="0" w:firstLine="0" w:firstLineChars="0"/>
        <w:rPr>
          <w:rFonts w:hint="eastAsia" w:ascii="方正小标宋简体" w:hAnsi="方正小标宋简体" w:eastAsia="方正小标宋简体" w:cs="方正小标宋简体"/>
          <w:w w:val="91"/>
          <w:sz w:val="44"/>
          <w:szCs w:val="44"/>
        </w:rPr>
        <w:sectPr>
          <w:footerReference r:id="rId13" w:type="default"/>
          <w:pgSz w:w="11850" w:h="16783"/>
          <w:pgMar w:top="2098" w:right="1474" w:bottom="2041" w:left="1587" w:header="851" w:footer="992" w:gutter="0"/>
          <w:pgBorders>
            <w:top w:val="none" w:sz="0" w:space="0"/>
            <w:left w:val="none" w:sz="0" w:space="0"/>
            <w:bottom w:val="none" w:sz="0" w:space="0"/>
            <w:right w:val="none" w:sz="0" w:space="0"/>
          </w:pgBorders>
          <w:pgNumType w:fmt="numberInDash" w:start="1" w:chapStyle="1"/>
          <w:cols w:space="0" w:num="1"/>
          <w:docGrid w:type="lines" w:linePitch="384" w:charSpace="0"/>
        </w:sectPr>
      </w:pPr>
    </w:p>
    <w:p>
      <w:pPr>
        <w:pStyle w:val="3"/>
        <w:ind w:left="0" w:firstLine="0" w:firstLineChars="0"/>
        <w:rPr>
          <w:rFonts w:hint="eastAsia" w:ascii="方正小标宋简体" w:hAnsi="方正小标宋简体" w:eastAsia="方正小标宋简体" w:cs="方正小标宋简体"/>
          <w:w w:val="91"/>
          <w:sz w:val="44"/>
          <w:szCs w:val="44"/>
          <w:lang w:val="en-US" w:eastAsia="zh-CN"/>
        </w:rPr>
      </w:pPr>
      <w:bookmarkStart w:id="1" w:name="_Toc10215"/>
      <w:r>
        <w:rPr>
          <w:rFonts w:hint="eastAsia" w:ascii="方正小标宋简体" w:hAnsi="方正小标宋简体" w:eastAsia="方正小标宋简体" w:cs="方正小标宋简体"/>
          <w:w w:val="91"/>
          <w:sz w:val="44"/>
          <w:szCs w:val="44"/>
        </w:rPr>
        <w:t xml:space="preserve">第一章 </w:t>
      </w:r>
      <w:r>
        <w:rPr>
          <w:rFonts w:hint="eastAsia" w:ascii="方正小标宋简体" w:hAnsi="方正小标宋简体" w:eastAsia="方正小标宋简体" w:cs="方正小标宋简体"/>
          <w:w w:val="91"/>
          <w:sz w:val="44"/>
          <w:szCs w:val="44"/>
          <w:lang w:val="en-US" w:eastAsia="zh-CN"/>
        </w:rPr>
        <w:t>立足发展基础，开启神木现代化建设新征程</w:t>
      </w:r>
      <w:bookmarkEnd w:id="1"/>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 w:name="_Toc29883"/>
      <w:r>
        <w:rPr>
          <w:rFonts w:hint="eastAsia" w:ascii="楷体_GB2312" w:hAnsi="楷体_GB2312" w:eastAsia="楷体_GB2312" w:cs="楷体_GB2312"/>
          <w:bCs/>
          <w:sz w:val="32"/>
          <w:szCs w:val="32"/>
        </w:rPr>
        <w:t>第一节 “十三五”发展成就</w:t>
      </w:r>
      <w:bookmarkEnd w:id="2"/>
    </w:p>
    <w:p>
      <w:pPr>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时期，面对错综复杂的外部环境和艰巨繁重的转型发展任务，全市上下始终坚持以习近平新时代中国特色社会主义思想为指导，紧盯追赶超越目标，深入贯彻新发展理念，全面推进供给侧结构性改革，统筹推进疫情防控和经济社会发展，着力做好稳增长、促改革、调结构、惠民生、防风险、保稳定各项工作，攻坚克难、开拓创新，“十三五”规划</w:t>
      </w:r>
      <w:r>
        <w:rPr>
          <w:rFonts w:hint="eastAsia" w:cs="Times New Roman"/>
          <w:sz w:val="32"/>
          <w:szCs w:val="32"/>
          <w:lang w:val="en-US" w:eastAsia="zh-CN"/>
        </w:rPr>
        <w:t>和全面小康社会</w:t>
      </w:r>
      <w:r>
        <w:rPr>
          <w:rFonts w:hint="default" w:ascii="Times New Roman" w:hAnsi="Times New Roman" w:eastAsia="仿宋_GB2312" w:cs="Times New Roman"/>
          <w:sz w:val="32"/>
          <w:szCs w:val="32"/>
        </w:rPr>
        <w:t>各项目标</w:t>
      </w:r>
      <w:r>
        <w:rPr>
          <w:rFonts w:hint="eastAsia" w:cs="Times New Roman"/>
          <w:sz w:val="32"/>
          <w:szCs w:val="32"/>
          <w:lang w:val="en-US" w:eastAsia="zh-CN"/>
        </w:rPr>
        <w:t>全面</w:t>
      </w:r>
      <w:r>
        <w:rPr>
          <w:rFonts w:hint="default" w:ascii="Times New Roman" w:hAnsi="Times New Roman" w:eastAsia="仿宋_GB2312" w:cs="Times New Roman"/>
          <w:sz w:val="32"/>
          <w:szCs w:val="32"/>
        </w:rPr>
        <w:t>完成，为开启建设社会主义现代化新征程奠定了坚实基础。</w:t>
      </w:r>
    </w:p>
    <w:p>
      <w:pPr>
        <w:keepNext w:val="0"/>
        <w:keepLines w:val="0"/>
        <w:pageBreakBefore w:val="0"/>
        <w:widowControl w:val="0"/>
        <w:kinsoku/>
        <w:wordWrap/>
        <w:overflowPunct/>
        <w:topLinePunct w:val="0"/>
        <w:autoSpaceDE/>
        <w:autoSpaceDN/>
        <w:bidi w:val="0"/>
        <w:adjustRightInd w:val="0"/>
        <w:snapToGrid w:val="0"/>
        <w:spacing w:line="600" w:lineRule="exact"/>
        <w:ind w:firstLine="643"/>
        <w:jc w:val="both"/>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经济实力跃上新台阶。</w:t>
      </w:r>
      <w:r>
        <w:rPr>
          <w:rFonts w:hint="default" w:ascii="Times New Roman" w:hAnsi="Times New Roman" w:eastAsia="仿宋_GB2312" w:cs="Times New Roman"/>
          <w:sz w:val="32"/>
          <w:szCs w:val="32"/>
        </w:rPr>
        <w:t>全市地区生产总值从“十二五”末的</w:t>
      </w:r>
      <w:r>
        <w:rPr>
          <w:rFonts w:hint="eastAsia" w:cs="Times New Roman"/>
          <w:sz w:val="32"/>
          <w:szCs w:val="32"/>
          <w:lang w:val="en-US" w:eastAsia="zh-CN"/>
        </w:rPr>
        <w:t>769</w:t>
      </w:r>
      <w:r>
        <w:rPr>
          <w:rFonts w:hint="default" w:ascii="Times New Roman" w:hAnsi="Times New Roman" w:eastAsia="仿宋_GB2312" w:cs="Times New Roman"/>
          <w:sz w:val="32"/>
          <w:szCs w:val="32"/>
        </w:rPr>
        <w:t>.</w:t>
      </w:r>
      <w:r>
        <w:rPr>
          <w:rFonts w:hint="eastAsia" w:cs="Times New Roman"/>
          <w:sz w:val="32"/>
          <w:szCs w:val="32"/>
          <w:lang w:val="en-US" w:eastAsia="zh-CN"/>
        </w:rPr>
        <w:t>53</w:t>
      </w:r>
      <w:r>
        <w:rPr>
          <w:rFonts w:hint="default" w:ascii="Times New Roman" w:hAnsi="Times New Roman" w:eastAsia="仿宋_GB2312" w:cs="Times New Roman"/>
          <w:sz w:val="32"/>
          <w:szCs w:val="32"/>
        </w:rPr>
        <w:t>亿元增长到2020年的</w:t>
      </w:r>
      <w:r>
        <w:rPr>
          <w:rFonts w:hint="eastAsia" w:ascii="Times New Roman" w:hAnsi="Times New Roman" w:eastAsia="仿宋_GB2312" w:cs="Times New Roman"/>
          <w:sz w:val="32"/>
          <w:szCs w:val="32"/>
          <w:lang w:val="en-US" w:eastAsia="zh-CN"/>
        </w:rPr>
        <w:t>1294亿元</w:t>
      </w:r>
      <w:r>
        <w:rPr>
          <w:rFonts w:hint="default" w:ascii="Times New Roman" w:hAnsi="Times New Roman" w:eastAsia="仿宋_GB2312" w:cs="Times New Roman"/>
          <w:sz w:val="32"/>
          <w:szCs w:val="32"/>
        </w:rPr>
        <w:t>，年均</w:t>
      </w:r>
      <w:r>
        <w:rPr>
          <w:rFonts w:hint="default" w:ascii="Times New Roman" w:hAnsi="Times New Roman" w:eastAsia="仿宋_GB2312" w:cs="Times New Roman"/>
          <w:sz w:val="32"/>
          <w:szCs w:val="32"/>
          <w:lang w:val="en-US" w:eastAsia="zh-CN"/>
        </w:rPr>
        <w:t>增速</w:t>
      </w:r>
      <w:r>
        <w:rPr>
          <w:rFonts w:hint="eastAsia" w:cs="Times New Roman"/>
          <w:sz w:val="32"/>
          <w:szCs w:val="32"/>
          <w:lang w:val="en-US" w:eastAsia="zh-CN"/>
        </w:rPr>
        <w:t>7</w:t>
      </w:r>
      <w:r>
        <w:rPr>
          <w:rFonts w:hint="eastAsia" w:ascii="Times New Roman" w:hAnsi="Times New Roman" w:eastAsia="仿宋_GB2312" w:cs="Times New Roman"/>
          <w:sz w:val="32"/>
          <w:szCs w:val="32"/>
          <w:lang w:val="en-US" w:eastAsia="zh-CN"/>
        </w:rPr>
        <w:t>.</w:t>
      </w:r>
      <w:r>
        <w:rPr>
          <w:rFonts w:hint="eastAsia" w:cs="Times New Roman"/>
          <w:sz w:val="32"/>
          <w:szCs w:val="32"/>
          <w:lang w:val="en-US" w:eastAsia="zh-CN"/>
        </w:rPr>
        <w:t>2</w:t>
      </w:r>
      <w:r>
        <w:rPr>
          <w:rFonts w:hint="default" w:ascii="Times New Roman" w:hAnsi="Times New Roman" w:eastAsia="仿宋_GB2312" w:cs="Times New Roman"/>
          <w:sz w:val="32"/>
          <w:szCs w:val="32"/>
          <w:lang w:val="en-US" w:eastAsia="zh-CN"/>
        </w:rPr>
        <w:t>%，</w:t>
      </w:r>
      <w:r>
        <w:rPr>
          <w:rFonts w:hint="eastAsia" w:cs="Times New Roman"/>
          <w:sz w:val="32"/>
          <w:szCs w:val="32"/>
          <w:lang w:val="en-US" w:eastAsia="zh-CN"/>
        </w:rPr>
        <w:t>连续4年在千亿元基础上持续快速增长，经济发展迈上了大台阶，</w:t>
      </w:r>
      <w:r>
        <w:rPr>
          <w:rFonts w:hint="default" w:ascii="Times New Roman" w:hAnsi="Times New Roman" w:eastAsia="仿宋_GB2312" w:cs="Times New Roman"/>
          <w:color w:val="000000" w:themeColor="text1"/>
          <w:sz w:val="32"/>
          <w:szCs w:val="32"/>
          <w14:textFill>
            <w14:solidFill>
              <w14:schemeClr w14:val="tx1"/>
            </w14:solidFill>
          </w14:textFill>
        </w:rPr>
        <w:t>人均GDP</w:t>
      </w:r>
      <w:r>
        <w:rPr>
          <w:rFonts w:hint="eastAsia" w:cs="Times New Roman"/>
          <w:color w:val="000000" w:themeColor="text1"/>
          <w:sz w:val="32"/>
          <w:szCs w:val="32"/>
          <w:lang w:val="en-US" w:eastAsia="zh-CN"/>
          <w14:textFill>
            <w14:solidFill>
              <w14:schemeClr w14:val="tx1"/>
            </w14:solidFill>
          </w14:textFill>
        </w:rPr>
        <w:t>接</w:t>
      </w:r>
      <w:r>
        <w:rPr>
          <w:rFonts w:hint="default" w:ascii="Times New Roman" w:hAnsi="Times New Roman" w:eastAsia="仿宋_GB2312" w:cs="Times New Roman"/>
          <w:color w:val="000000" w:themeColor="text1"/>
          <w:sz w:val="32"/>
          <w:szCs w:val="32"/>
          <w14:textFill>
            <w14:solidFill>
              <w14:schemeClr w14:val="tx1"/>
            </w14:solidFill>
          </w14:textFill>
        </w:rPr>
        <w:t>近4万美</w:t>
      </w:r>
      <w:r>
        <w:rPr>
          <w:rFonts w:hint="default" w:ascii="Times New Roman" w:hAnsi="Times New Roman" w:eastAsia="仿宋_GB2312" w:cs="Times New Roman"/>
          <w:color w:val="auto"/>
          <w:sz w:val="32"/>
          <w:szCs w:val="32"/>
          <w:highlight w:val="none"/>
        </w:rPr>
        <w:t>元，</w:t>
      </w:r>
      <w:r>
        <w:rPr>
          <w:rFonts w:hint="default" w:ascii="Times New Roman" w:hAnsi="Times New Roman" w:eastAsia="仿宋_GB2312" w:cs="Times New Roman"/>
          <w:color w:val="auto"/>
          <w:sz w:val="32"/>
          <w:szCs w:val="32"/>
          <w:highlight w:val="none"/>
          <w:lang w:val="en-US" w:eastAsia="zh-CN"/>
        </w:rPr>
        <w:t>达到</w:t>
      </w:r>
      <w:r>
        <w:rPr>
          <w:rFonts w:hint="default" w:ascii="Times New Roman" w:hAnsi="Times New Roman" w:eastAsia="仿宋_GB2312" w:cs="Times New Roman"/>
          <w:color w:val="auto"/>
          <w:sz w:val="32"/>
          <w:szCs w:val="32"/>
          <w:highlight w:val="none"/>
        </w:rPr>
        <w:t>高收入经济体</w:t>
      </w:r>
      <w:r>
        <w:rPr>
          <w:rFonts w:hint="default" w:ascii="Times New Roman" w:hAnsi="Times New Roman" w:eastAsia="仿宋_GB2312" w:cs="Times New Roman"/>
          <w:color w:val="auto"/>
          <w:sz w:val="32"/>
          <w:szCs w:val="32"/>
          <w:highlight w:val="none"/>
          <w:lang w:val="en-US" w:eastAsia="zh-CN"/>
        </w:rPr>
        <w:t>发展水平</w:t>
      </w:r>
      <w:r>
        <w:rPr>
          <w:rFonts w:hint="default" w:ascii="Times New Roman" w:hAnsi="Times New Roman" w:eastAsia="仿宋_GB2312" w:cs="Times New Roman"/>
          <w:color w:val="auto"/>
          <w:sz w:val="32"/>
          <w:szCs w:val="32"/>
          <w:highlight w:val="none"/>
        </w:rPr>
        <w:t>。地方财政一般预算收入、社会消费品零售总</w:t>
      </w:r>
      <w:r>
        <w:rPr>
          <w:rFonts w:hint="default" w:ascii="Times New Roman" w:hAnsi="Times New Roman" w:eastAsia="仿宋_GB2312" w:cs="Times New Roman"/>
          <w:color w:val="000000" w:themeColor="text1"/>
          <w:sz w:val="32"/>
          <w:szCs w:val="32"/>
          <w14:textFill>
            <w14:solidFill>
              <w14:schemeClr w14:val="tx1"/>
            </w14:solidFill>
          </w14:textFill>
        </w:rPr>
        <w:t>额</w:t>
      </w:r>
      <w:r>
        <w:rPr>
          <w:rFonts w:hint="default" w:ascii="Times New Roman" w:hAnsi="Times New Roman" w:eastAsia="仿宋_GB2312" w:cs="Times New Roman"/>
          <w:color w:val="auto"/>
          <w:sz w:val="32"/>
          <w:szCs w:val="32"/>
          <w:highlight w:val="none"/>
        </w:rPr>
        <w:t>分别达</w:t>
      </w:r>
      <w:r>
        <w:rPr>
          <w:rFonts w:hint="eastAsia" w:ascii="Times New Roman" w:hAnsi="Times New Roman" w:eastAsia="仿宋_GB2312" w:cs="Times New Roman"/>
          <w:color w:val="auto"/>
          <w:sz w:val="32"/>
          <w:szCs w:val="32"/>
          <w:highlight w:val="none"/>
          <w:lang w:val="en-US" w:eastAsia="zh-CN"/>
        </w:rPr>
        <w:t>91.62</w:t>
      </w:r>
      <w:r>
        <w:rPr>
          <w:rFonts w:hint="default" w:ascii="Times New Roman" w:hAnsi="Times New Roman" w:eastAsia="仿宋_GB2312" w:cs="Times New Roman"/>
          <w:color w:val="auto"/>
          <w:sz w:val="32"/>
          <w:szCs w:val="32"/>
          <w:highlight w:val="none"/>
        </w:rPr>
        <w:t>亿元、</w:t>
      </w:r>
      <w:r>
        <w:rPr>
          <w:rFonts w:hint="eastAsia" w:ascii="Times New Roman" w:hAnsi="Times New Roman" w:eastAsia="仿宋_GB2312" w:cs="Times New Roman"/>
          <w:color w:val="auto"/>
          <w:sz w:val="32"/>
          <w:szCs w:val="32"/>
          <w:highlight w:val="none"/>
          <w:lang w:val="en-US" w:eastAsia="zh-CN"/>
        </w:rPr>
        <w:t>94.11</w:t>
      </w:r>
      <w:r>
        <w:rPr>
          <w:rFonts w:hint="default" w:ascii="Times New Roman" w:hAnsi="Times New Roman" w:eastAsia="仿宋_GB2312" w:cs="Times New Roman"/>
          <w:color w:val="auto"/>
          <w:sz w:val="32"/>
          <w:szCs w:val="32"/>
          <w:highlight w:val="none"/>
        </w:rPr>
        <w:t>亿元，较“十二五”末分别增长</w:t>
      </w:r>
      <w:r>
        <w:rPr>
          <w:rFonts w:hint="eastAsia" w:ascii="Times New Roman" w:hAnsi="Times New Roman" w:eastAsia="仿宋_GB2312" w:cs="Times New Roman"/>
          <w:color w:val="auto"/>
          <w:sz w:val="32"/>
          <w:szCs w:val="32"/>
          <w:highlight w:val="none"/>
          <w:lang w:val="en-US" w:eastAsia="zh-CN"/>
        </w:rPr>
        <w:t>57</w:t>
      </w:r>
      <w:r>
        <w:rPr>
          <w:rFonts w:hint="default" w:ascii="Times New Roman" w:hAnsi="Times New Roman" w:eastAsia="仿宋_GB2312" w:cs="Times New Roman"/>
          <w:color w:val="auto"/>
          <w:sz w:val="32"/>
          <w:szCs w:val="32"/>
          <w:highlight w:val="none"/>
        </w:rPr>
        <w:t>%、</w:t>
      </w:r>
      <w:r>
        <w:rPr>
          <w:rFonts w:hint="eastAsia" w:cs="Times New Roman"/>
          <w:color w:val="auto"/>
          <w:sz w:val="32"/>
          <w:szCs w:val="32"/>
          <w:highlight w:val="none"/>
          <w:lang w:val="en-US" w:eastAsia="zh-CN"/>
        </w:rPr>
        <w:t>37</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全社会固定资产累计投资</w:t>
      </w:r>
      <w:r>
        <w:rPr>
          <w:rFonts w:hint="eastAsia" w:ascii="Times New Roman" w:hAnsi="Times New Roman" w:eastAsia="仿宋_GB2312" w:cs="Times New Roman"/>
          <w:color w:val="auto"/>
          <w:sz w:val="32"/>
          <w:szCs w:val="32"/>
          <w:highlight w:val="none"/>
          <w:lang w:val="en-US" w:eastAsia="zh-CN"/>
        </w:rPr>
        <w:t>2126.3</w:t>
      </w:r>
      <w:r>
        <w:rPr>
          <w:rFonts w:hint="default" w:ascii="Times New Roman" w:hAnsi="Times New Roman" w:eastAsia="仿宋_GB2312" w:cs="Times New Roman"/>
          <w:color w:val="auto"/>
          <w:sz w:val="32"/>
          <w:szCs w:val="32"/>
          <w:highlight w:val="none"/>
        </w:rPr>
        <w:t>亿元</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较“十二五”期间增长54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000000" w:themeColor="text1"/>
          <w:sz w:val="32"/>
          <w:szCs w:val="32"/>
          <w14:textFill>
            <w14:solidFill>
              <w14:schemeClr w14:val="tx1"/>
            </w14:solidFill>
          </w14:textFill>
        </w:rPr>
        <w:t>规上工业总产值突破两千亿元大关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煤炭产量</w:t>
      </w:r>
      <w:r>
        <w:rPr>
          <w:rFonts w:hint="eastAsia" w:cs="Times New Roman"/>
          <w:color w:val="000000" w:themeColor="text1"/>
          <w:sz w:val="32"/>
          <w:szCs w:val="32"/>
          <w:lang w:val="en-US" w:eastAsia="zh-CN"/>
          <w14:textFill>
            <w14:solidFill>
              <w14:schemeClr w14:val="tx1"/>
            </w14:solidFill>
          </w14:textFill>
        </w:rPr>
        <w:t>达到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eastAsia" w:cs="Times New Roman"/>
          <w:color w:val="000000" w:themeColor="text1"/>
          <w:sz w:val="32"/>
          <w:szCs w:val="32"/>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7亿吨，较“十二五”末分别</w:t>
      </w:r>
      <w:r>
        <w:rPr>
          <w:rFonts w:hint="default" w:ascii="Times New Roman" w:hAnsi="Times New Roman" w:eastAsia="仿宋_GB2312" w:cs="Times New Roman"/>
          <w:color w:val="auto"/>
          <w:sz w:val="32"/>
          <w:szCs w:val="32"/>
          <w:highlight w:val="none"/>
          <w:lang w:val="en-US" w:eastAsia="zh-CN"/>
        </w:rPr>
        <w:t>增长</w:t>
      </w:r>
      <w:r>
        <w:rPr>
          <w:rFonts w:hint="eastAsia" w:ascii="Times New Roman" w:hAnsi="Times New Roman" w:eastAsia="仿宋_GB2312" w:cs="Times New Roman"/>
          <w:color w:val="auto"/>
          <w:sz w:val="32"/>
          <w:szCs w:val="32"/>
          <w:highlight w:val="none"/>
          <w:lang w:val="en-US" w:eastAsia="zh-CN"/>
        </w:rPr>
        <w:t>7</w:t>
      </w:r>
      <w:r>
        <w:rPr>
          <w:rFonts w:hint="eastAsia"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eastAsia"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33.5</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县域</w:t>
      </w:r>
      <w:r>
        <w:rPr>
          <w:rFonts w:hint="default" w:ascii="Times New Roman" w:hAnsi="Times New Roman" w:eastAsia="仿宋_GB2312" w:cs="Times New Roman"/>
          <w:sz w:val="32"/>
          <w:szCs w:val="32"/>
        </w:rPr>
        <w:t>经济综合竞争力跃升至全国百强第12位，较“十二五”末提</w:t>
      </w:r>
      <w:r>
        <w:rPr>
          <w:rFonts w:hint="eastAsia" w:cs="Times New Roman"/>
          <w:sz w:val="32"/>
          <w:szCs w:val="32"/>
          <w:lang w:eastAsia="zh-CN"/>
        </w:rPr>
        <w:t>升</w:t>
      </w:r>
      <w:r>
        <w:rPr>
          <w:rFonts w:hint="default" w:ascii="Times New Roman" w:hAnsi="Times New Roman" w:eastAsia="仿宋_GB2312" w:cs="Times New Roman"/>
          <w:sz w:val="32"/>
          <w:szCs w:val="32"/>
        </w:rPr>
        <w:t>9个位次，位居西部第一。</w:t>
      </w:r>
    </w:p>
    <w:p>
      <w:pPr>
        <w:keepNext w:val="0"/>
        <w:keepLines w:val="0"/>
        <w:pageBreakBefore w:val="0"/>
        <w:widowControl w:val="0"/>
        <w:kinsoku/>
        <w:wordWrap/>
        <w:overflowPunct/>
        <w:topLinePunct w:val="0"/>
        <w:autoSpaceDE/>
        <w:autoSpaceDN/>
        <w:bidi w:val="0"/>
        <w:adjustRightInd w:val="0"/>
        <w:snapToGrid w:val="0"/>
        <w:spacing w:line="600" w:lineRule="exact"/>
        <w:ind w:firstLine="643"/>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sz w:val="32"/>
          <w:szCs w:val="32"/>
        </w:rPr>
        <w:t>产业升级迈出新步伐。</w:t>
      </w:r>
      <w:r>
        <w:rPr>
          <w:rFonts w:hint="default" w:ascii="Times New Roman" w:hAnsi="Times New Roman" w:eastAsia="仿宋_GB2312" w:cs="Times New Roman"/>
          <w:color w:val="000000" w:themeColor="text1"/>
          <w:sz w:val="32"/>
          <w:szCs w:val="32"/>
          <w14:textFill>
            <w14:solidFill>
              <w14:schemeClr w14:val="tx1"/>
            </w14:solidFill>
          </w14:textFill>
        </w:rPr>
        <w:t>始终坚持项目为王，加快建设国家高端能源化工基地，拓宽延伸“煤头化尾”产业链，新增煤-煤焦油-芳烃（酚）等2条新型循环产业链，引进山东信发、江苏恒力等一批行业领军企业，精益化工建成国内最大的煤基芳烃项目，柔性显示材料、工业杀菌剂等一批</w:t>
      </w:r>
      <w:r>
        <w:rPr>
          <w:rFonts w:hint="eastAsia" w:cs="Times New Roman"/>
          <w:color w:val="000000" w:themeColor="text1"/>
          <w:sz w:val="32"/>
          <w:szCs w:val="32"/>
          <w:lang w:val="en-US" w:eastAsia="zh-CN"/>
          <w14:textFill>
            <w14:solidFill>
              <w14:schemeClr w14:val="tx1"/>
            </w14:solidFill>
          </w14:textFill>
        </w:rPr>
        <w:t>新兴产业</w:t>
      </w:r>
      <w:r>
        <w:rPr>
          <w:rFonts w:hint="default" w:ascii="Times New Roman" w:hAnsi="Times New Roman" w:eastAsia="仿宋_GB2312" w:cs="Times New Roman"/>
          <w:color w:val="000000" w:themeColor="text1"/>
          <w:sz w:val="32"/>
          <w:szCs w:val="32"/>
          <w14:textFill>
            <w14:solidFill>
              <w14:schemeClr w14:val="tx1"/>
            </w14:solidFill>
          </w14:textFill>
        </w:rPr>
        <w:t>项目落地。传统产业升级转型步伐加快，兰炭产业</w:t>
      </w:r>
      <w:r>
        <w:rPr>
          <w:rFonts w:hint="eastAsia" w:cs="Times New Roman"/>
          <w:color w:val="000000" w:themeColor="text1"/>
          <w:sz w:val="32"/>
          <w:szCs w:val="32"/>
          <w:lang w:val="en-US" w:eastAsia="zh-CN"/>
          <w14:textFill>
            <w14:solidFill>
              <w14:schemeClr w14:val="tx1"/>
            </w14:solidFill>
          </w14:textFill>
        </w:rPr>
        <w:t>向</w:t>
      </w:r>
      <w:r>
        <w:rPr>
          <w:rFonts w:hint="default" w:ascii="Times New Roman" w:hAnsi="Times New Roman" w:eastAsia="仿宋_GB2312" w:cs="Times New Roman"/>
          <w:color w:val="000000" w:themeColor="text1"/>
          <w:sz w:val="32"/>
          <w:szCs w:val="32"/>
          <w14:textFill>
            <w14:solidFill>
              <w14:schemeClr w14:val="tx1"/>
            </w14:solidFill>
          </w14:textFill>
        </w:rPr>
        <w:t>大型化、智能化、清洁化</w:t>
      </w:r>
      <w:r>
        <w:rPr>
          <w:rFonts w:hint="eastAsia" w:cs="Times New Roman"/>
          <w:color w:val="000000" w:themeColor="text1"/>
          <w:sz w:val="32"/>
          <w:szCs w:val="32"/>
          <w:lang w:val="en-US" w:eastAsia="zh-CN"/>
          <w14:textFill>
            <w14:solidFill>
              <w14:schemeClr w14:val="tx1"/>
            </w14:solidFill>
          </w14:textFill>
        </w:rPr>
        <w:t>全面改造提升</w:t>
      </w:r>
      <w:r>
        <w:rPr>
          <w:rFonts w:hint="default" w:ascii="Times New Roman" w:hAnsi="Times New Roman" w:eastAsia="仿宋_GB2312" w:cs="Times New Roman"/>
          <w:color w:val="000000" w:themeColor="text1"/>
          <w:sz w:val="32"/>
          <w:szCs w:val="32"/>
          <w14:textFill>
            <w14:solidFill>
              <w14:schemeClr w14:val="tx1"/>
            </w14:solidFill>
          </w14:textFill>
        </w:rPr>
        <w:t>，电力装机容量达1225万千瓦，较“十二五”末增加336万千瓦。</w:t>
      </w:r>
      <w:r>
        <w:rPr>
          <w:rFonts w:hint="eastAsia" w:cs="Times New Roman"/>
          <w:color w:val="000000" w:themeColor="text1"/>
          <w:sz w:val="32"/>
          <w:szCs w:val="32"/>
          <w:lang w:eastAsia="zh-CN"/>
          <w14:textFill>
            <w14:solidFill>
              <w14:schemeClr w14:val="tx1"/>
            </w14:solidFill>
          </w14:textFill>
        </w:rPr>
        <w:t>创建并</w:t>
      </w:r>
      <w:r>
        <w:rPr>
          <w:rFonts w:hint="default" w:ascii="Times New Roman" w:hAnsi="Times New Roman" w:eastAsia="仿宋_GB2312" w:cs="Times New Roman"/>
          <w:color w:val="000000" w:themeColor="text1"/>
          <w:sz w:val="32"/>
          <w:szCs w:val="32"/>
          <w14:textFill>
            <w14:solidFill>
              <w14:schemeClr w14:val="tx1"/>
            </w14:solidFill>
          </w14:textFill>
        </w:rPr>
        <w:t>持续扩大“国香神木”农业品牌影响力，启动建设省级农业高新示范区，培育建成农业龙头企业57个、省市级农业园区19个，农业总产值较“十二五”末</w:t>
      </w:r>
      <w:r>
        <w:rPr>
          <w:rFonts w:hint="eastAsia" w:cs="Times New Roman"/>
          <w:color w:val="000000" w:themeColor="text1"/>
          <w:sz w:val="32"/>
          <w:szCs w:val="32"/>
          <w:lang w:val="en-US" w:eastAsia="zh-CN"/>
          <w14:textFill>
            <w14:solidFill>
              <w14:schemeClr w14:val="tx1"/>
            </w14:solidFill>
          </w14:textFill>
        </w:rPr>
        <w:t>实现翻番</w:t>
      </w:r>
      <w:r>
        <w:rPr>
          <w:rFonts w:hint="default" w:ascii="Times New Roman" w:hAnsi="Times New Roman" w:eastAsia="仿宋_GB2312" w:cs="Times New Roman"/>
          <w:color w:val="000000" w:themeColor="text1"/>
          <w:sz w:val="32"/>
          <w:szCs w:val="32"/>
          <w14:textFill>
            <w14:solidFill>
              <w14:schemeClr w14:val="tx1"/>
            </w14:solidFill>
          </w14:textFill>
        </w:rPr>
        <w:t>。以“一山二水三城”</w:t>
      </w:r>
      <w:r>
        <w:rPr>
          <w:rStyle w:val="37"/>
          <w:rFonts w:hint="default" w:ascii="Times New Roman" w:hAnsi="Times New Roman" w:eastAsia="仿宋_GB2312" w:cs="Times New Roman"/>
          <w:color w:val="000000" w:themeColor="text1"/>
          <w:sz w:val="32"/>
          <w:szCs w:val="32"/>
          <w14:textFill>
            <w14:solidFill>
              <w14:schemeClr w14:val="tx1"/>
            </w14:solidFill>
          </w14:textFill>
        </w:rPr>
        <w:footnoteReference w:id="0"/>
      </w:r>
      <w:r>
        <w:rPr>
          <w:rFonts w:hint="default" w:ascii="Times New Roman" w:hAnsi="Times New Roman" w:eastAsia="仿宋_GB2312" w:cs="Times New Roman"/>
          <w:color w:val="000000" w:themeColor="text1"/>
          <w:sz w:val="32"/>
          <w:szCs w:val="32"/>
          <w14:textFill>
            <w14:solidFill>
              <w14:schemeClr w14:val="tx1"/>
            </w14:solidFill>
          </w14:textFill>
        </w:rPr>
        <w:t>为</w:t>
      </w:r>
      <w:r>
        <w:rPr>
          <w:rFonts w:hint="eastAsia" w:cs="Times New Roman"/>
          <w:color w:val="000000" w:themeColor="text1"/>
          <w:sz w:val="32"/>
          <w:szCs w:val="32"/>
          <w:lang w:eastAsia="zh-CN"/>
          <w14:textFill>
            <w14:solidFill>
              <w14:schemeClr w14:val="tx1"/>
            </w14:solidFill>
          </w14:textFill>
        </w:rPr>
        <w:t>框架</w:t>
      </w:r>
      <w:r>
        <w:rPr>
          <w:rFonts w:hint="default" w:ascii="Times New Roman" w:hAnsi="Times New Roman" w:eastAsia="仿宋_GB2312" w:cs="Times New Roman"/>
          <w:color w:val="000000" w:themeColor="text1"/>
          <w:sz w:val="32"/>
          <w:szCs w:val="32"/>
          <w14:textFill>
            <w14:solidFill>
              <w14:schemeClr w14:val="tx1"/>
            </w14:solidFill>
          </w14:textFill>
        </w:rPr>
        <w:t>的文化旅游提速发展，石峁遗址入选过去十年“世界十大考古新发现”，申遗列入国家预备名单，启动杨家城开发保护建设，建成陕西省第三批旅游示范市（县），旅游综合收益较“十二五”末增长</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3.9倍</w:t>
      </w:r>
      <w:r>
        <w:rPr>
          <w:rFonts w:hint="default" w:ascii="Times New Roman" w:hAnsi="Times New Roman" w:eastAsia="仿宋_GB2312" w:cs="Times New Roman"/>
          <w:color w:val="000000" w:themeColor="text1"/>
          <w:sz w:val="32"/>
          <w:szCs w:val="32"/>
          <w14:textFill>
            <w14:solidFill>
              <w14:schemeClr w14:val="tx1"/>
            </w14:solidFill>
          </w14:textFill>
        </w:rPr>
        <w:t>。现代物流、金融、商贸等生产生活性服务业蓬勃发展，建成大保当煤炭物流园区。</w:t>
      </w:r>
    </w:p>
    <w:p>
      <w:pPr>
        <w:pStyle w:val="2"/>
        <w:keepNext w:val="0"/>
        <w:keepLines w:val="0"/>
        <w:pageBreakBefore w:val="0"/>
        <w:widowControl w:val="0"/>
        <w:kinsoku/>
        <w:wordWrap/>
        <w:overflowPunct/>
        <w:topLinePunct w:val="0"/>
        <w:autoSpaceDE/>
        <w:autoSpaceDN/>
        <w:bidi w:val="0"/>
        <w:adjustRightInd w:val="0"/>
        <w:snapToGrid w:val="0"/>
        <w:spacing w:line="600" w:lineRule="exact"/>
        <w:ind w:firstLine="643"/>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sz w:val="32"/>
          <w:szCs w:val="32"/>
          <w:lang w:val="en-US" w:eastAsia="zh-CN" w:bidi="ar-SA"/>
        </w:rPr>
        <w:t>城乡建设展现新画卷。</w:t>
      </w:r>
      <w:r>
        <w:rPr>
          <w:rFonts w:hint="default" w:ascii="Times New Roman" w:hAnsi="Times New Roman" w:eastAsia="仿宋_GB2312" w:cs="Times New Roman"/>
          <w:color w:val="000000" w:themeColor="text1"/>
          <w:sz w:val="32"/>
          <w:szCs w:val="32"/>
          <w14:textFill>
            <w14:solidFill>
              <w14:schemeClr w14:val="tx1"/>
            </w14:solidFill>
          </w14:textFill>
        </w:rPr>
        <w:t>坚持以</w:t>
      </w:r>
      <w:r>
        <w:rPr>
          <w:rFonts w:hint="eastAsia" w:ascii="Times New Roman" w:hAnsi="Times New Roman" w:cs="Times New Roman"/>
          <w:color w:val="000000" w:themeColor="text1"/>
          <w:sz w:val="32"/>
          <w:szCs w:val="32"/>
          <w:lang w:val="en-US" w:eastAsia="zh-CN"/>
          <w14:textFill>
            <w14:solidFill>
              <w14:schemeClr w14:val="tx1"/>
            </w14:solidFill>
          </w14:textFill>
        </w:rPr>
        <w:t>国家级</w:t>
      </w:r>
      <w:r>
        <w:rPr>
          <w:rFonts w:hint="default" w:ascii="Times New Roman" w:hAnsi="Times New Roman" w:eastAsia="仿宋_GB2312" w:cs="Times New Roman"/>
          <w:color w:val="000000" w:themeColor="text1"/>
          <w:sz w:val="32"/>
          <w:szCs w:val="32"/>
          <w14:textFill>
            <w14:solidFill>
              <w14:schemeClr w14:val="tx1"/>
            </w14:solidFill>
          </w14:textFill>
        </w:rPr>
        <w:t>新型城镇化</w:t>
      </w:r>
      <w:r>
        <w:rPr>
          <w:rFonts w:hint="eastAsia" w:ascii="Times New Roman" w:hAnsi="Times New Roman" w:cs="Times New Roman"/>
          <w:color w:val="000000" w:themeColor="text1"/>
          <w:sz w:val="32"/>
          <w:szCs w:val="32"/>
          <w:lang w:val="en-US" w:eastAsia="zh-CN"/>
          <w14:textFill>
            <w14:solidFill>
              <w14:schemeClr w14:val="tx1"/>
            </w14:solidFill>
          </w14:textFill>
        </w:rPr>
        <w:t>试点</w:t>
      </w:r>
      <w:r>
        <w:rPr>
          <w:rFonts w:hint="default" w:ascii="Times New Roman" w:hAnsi="Times New Roman" w:eastAsia="仿宋_GB2312" w:cs="Times New Roman"/>
          <w:color w:val="000000" w:themeColor="text1"/>
          <w:sz w:val="32"/>
          <w:szCs w:val="32"/>
          <w14:textFill>
            <w14:solidFill>
              <w14:schemeClr w14:val="tx1"/>
            </w14:solidFill>
          </w14:textFill>
        </w:rPr>
        <w:t>为引领，实现城乡融合发展，城市建成区达29.5平方公里，城镇化率</w:t>
      </w:r>
      <w:r>
        <w:rPr>
          <w:rFonts w:hint="eastAsia" w:ascii="Times New Roman" w:hAnsi="Times New Roman" w:cs="Times New Roman"/>
          <w:color w:val="000000" w:themeColor="text1"/>
          <w:sz w:val="32"/>
          <w:szCs w:val="32"/>
          <w:lang w:val="en-US" w:eastAsia="zh-CN"/>
          <w14:textFill>
            <w14:solidFill>
              <w14:schemeClr w14:val="tx1"/>
            </w14:solidFill>
          </w14:textFill>
        </w:rPr>
        <w:t>达</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到</w:t>
      </w:r>
      <w:r>
        <w:rPr>
          <w:rFonts w:hint="default" w:ascii="Times New Roman" w:hAnsi="Times New Roman" w:eastAsia="仿宋_GB2312" w:cs="Times New Roman"/>
          <w:color w:val="000000" w:themeColor="text1"/>
          <w:sz w:val="32"/>
          <w:szCs w:val="32"/>
          <w14:textFill>
            <w14:solidFill>
              <w14:schemeClr w14:val="tx1"/>
            </w14:solidFill>
          </w14:textFill>
        </w:rPr>
        <w:t>70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%。惠及近3万人的古城改造取得阶段性</w:t>
      </w:r>
      <w:r>
        <w:rPr>
          <w:rFonts w:hint="eastAsia" w:ascii="Times New Roman" w:hAnsi="Times New Roman" w:cs="Times New Roman"/>
          <w:color w:val="000000" w:themeColor="text1"/>
          <w:sz w:val="32"/>
          <w:szCs w:val="32"/>
          <w:lang w:eastAsia="zh-CN"/>
          <w14:textFill>
            <w14:solidFill>
              <w14:schemeClr w14:val="tx1"/>
            </w14:solidFill>
          </w14:textFill>
        </w:rPr>
        <w:t>进展</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cs="Times New Roman"/>
          <w:sz w:val="32"/>
          <w:szCs w:val="32"/>
          <w:shd w:val="clear" w:color="auto" w:fill="FFFFFF"/>
          <w:lang w:val="en-US" w:eastAsia="zh-CN"/>
        </w:rPr>
        <w:t>神木</w:t>
      </w:r>
      <w:r>
        <w:rPr>
          <w:rFonts w:hint="default" w:ascii="Times New Roman" w:hAnsi="Times New Roman" w:eastAsia="仿宋_GB2312" w:cs="Times New Roman"/>
          <w:sz w:val="32"/>
          <w:szCs w:val="32"/>
          <w:shd w:val="clear" w:color="auto" w:fill="FFFFFF"/>
        </w:rPr>
        <w:t>火车站、大剧院等一批城市新地标建成投用。</w:t>
      </w:r>
      <w:r>
        <w:rPr>
          <w:rFonts w:hint="default" w:ascii="Times New Roman" w:hAnsi="Times New Roman" w:eastAsia="仿宋_GB2312" w:cs="Times New Roman"/>
          <w:color w:val="000000" w:themeColor="text1"/>
          <w:sz w:val="32"/>
          <w:szCs w:val="32"/>
          <w14:textFill>
            <w14:solidFill>
              <w14:schemeClr w14:val="tx1"/>
            </w14:solidFill>
          </w14:textFill>
        </w:rPr>
        <w:t>环城南路、精煤路等</w:t>
      </w:r>
      <w:r>
        <w:rPr>
          <w:rFonts w:hint="default" w:ascii="Times New Roman" w:hAnsi="Times New Roman" w:eastAsia="仿宋_GB2312" w:cs="Times New Roman"/>
          <w:sz w:val="32"/>
          <w:szCs w:val="32"/>
          <w:shd w:val="clear" w:color="auto" w:fill="FFFFFF"/>
        </w:rPr>
        <w:t>“四纵二十一横”城市主街道</w:t>
      </w:r>
      <w:r>
        <w:rPr>
          <w:rFonts w:hint="default" w:ascii="Times New Roman" w:hAnsi="Times New Roman" w:eastAsia="仿宋_GB2312" w:cs="Times New Roman"/>
          <w:color w:val="000000" w:themeColor="text1"/>
          <w:sz w:val="32"/>
          <w:szCs w:val="32"/>
          <w14:textFill>
            <w14:solidFill>
              <w14:schemeClr w14:val="tx1"/>
            </w14:solidFill>
          </w14:textFill>
        </w:rPr>
        <w:t>全部贯通，市政道路总长突破300公里，城市互联互通能力极大提升。城区集中供热能力达1400万平方米，实现20万人“有热共享”。建成</w:t>
      </w:r>
      <w:r>
        <w:rPr>
          <w:rFonts w:hint="default" w:ascii="Times New Roman" w:hAnsi="Times New Roman" w:eastAsia="仿宋_GB2312" w:cs="Times New Roman"/>
          <w:sz w:val="32"/>
          <w:szCs w:val="32"/>
          <w:shd w:val="clear" w:color="auto" w:fill="FFFFFF"/>
        </w:rPr>
        <w:t>杨业公园等9个城市绿地广场，人均公园绿地面积达</w:t>
      </w:r>
      <w:r>
        <w:rPr>
          <w:rFonts w:hint="default" w:ascii="Times New Roman" w:hAnsi="Times New Roman" w:eastAsia="仿宋_GB2312" w:cs="Times New Roman"/>
          <w:color w:val="000000" w:themeColor="text1"/>
          <w:sz w:val="32"/>
          <w:szCs w:val="32"/>
          <w14:textFill>
            <w14:solidFill>
              <w14:schemeClr w14:val="tx1"/>
            </w14:solidFill>
          </w14:textFill>
        </w:rPr>
        <w:t>23</w:t>
      </w:r>
      <w:r>
        <w:rPr>
          <w:rFonts w:hint="default" w:ascii="Times New Roman" w:hAnsi="Times New Roman" w:eastAsia="仿宋_GB2312" w:cs="Times New Roman"/>
          <w:sz w:val="32"/>
          <w:szCs w:val="32"/>
          <w:shd w:val="clear" w:color="auto" w:fill="FFFFFF"/>
        </w:rPr>
        <w:t>平方米</w:t>
      </w:r>
      <w:r>
        <w:rPr>
          <w:rFonts w:hint="eastAsia" w:ascii="Times New Roman" w:hAnsi="Times New Roman" w:cs="Times New Roman"/>
          <w:sz w:val="32"/>
          <w:szCs w:val="32"/>
          <w:shd w:val="clear" w:color="auto" w:fill="FFFFFF"/>
          <w:lang w:eastAsia="zh-CN"/>
        </w:rPr>
        <w:t>，</w:t>
      </w:r>
      <w:r>
        <w:rPr>
          <w:rFonts w:hint="eastAsia" w:ascii="Times New Roman" w:hAnsi="Times New Roman" w:cs="Times New Roman"/>
          <w:sz w:val="32"/>
          <w:szCs w:val="32"/>
          <w:shd w:val="clear" w:color="auto" w:fill="FFFFFF"/>
          <w:lang w:val="en-US" w:eastAsia="zh-CN"/>
        </w:rPr>
        <w:t>成功创建国家卫生城市</w:t>
      </w:r>
      <w:r>
        <w:rPr>
          <w:rFonts w:hint="default" w:ascii="Times New Roman" w:hAnsi="Times New Roman" w:eastAsia="仿宋_GB2312" w:cs="Times New Roman"/>
          <w:sz w:val="32"/>
          <w:szCs w:val="32"/>
          <w:shd w:val="clear" w:color="auto" w:fill="FFFFFF"/>
        </w:rPr>
        <w:t>。</w:t>
      </w:r>
      <w:r>
        <w:rPr>
          <w:rFonts w:hint="default" w:ascii="Times New Roman" w:hAnsi="Times New Roman" w:eastAsia="仿宋_GB2312" w:cs="Times New Roman"/>
          <w:color w:val="000000" w:themeColor="text1"/>
          <w:sz w:val="32"/>
          <w:szCs w:val="32"/>
          <w14:textFill>
            <w14:solidFill>
              <w14:schemeClr w14:val="tx1"/>
            </w14:solidFill>
          </w14:textFill>
        </w:rPr>
        <w:t>新建或改造各类停车场27处，划定停车位5000余个。滨河新区成为</w:t>
      </w:r>
      <w:r>
        <w:rPr>
          <w:rFonts w:hint="eastAsia" w:ascii="Times New Roman" w:hAnsi="Times New Roman" w:cs="Times New Roman"/>
          <w:color w:val="000000" w:themeColor="text1"/>
          <w:sz w:val="32"/>
          <w:szCs w:val="32"/>
          <w:lang w:val="en-US" w:eastAsia="zh-CN"/>
          <w14:textFill>
            <w14:solidFill>
              <w14:schemeClr w14:val="tx1"/>
            </w14:solidFill>
          </w14:textFill>
        </w:rPr>
        <w:t>新的</w:t>
      </w:r>
      <w:r>
        <w:rPr>
          <w:rFonts w:hint="default" w:ascii="Times New Roman" w:hAnsi="Times New Roman" w:eastAsia="仿宋_GB2312" w:cs="Times New Roman"/>
          <w:color w:val="000000" w:themeColor="text1"/>
          <w:sz w:val="32"/>
          <w:szCs w:val="32"/>
          <w14:textFill>
            <w14:solidFill>
              <w14:schemeClr w14:val="tx1"/>
            </w14:solidFill>
          </w14:textFill>
        </w:rPr>
        <w:t>行政</w:t>
      </w:r>
      <w:r>
        <w:rPr>
          <w:rFonts w:hint="eastAsia" w:ascii="Times New Roman" w:hAnsi="Times New Roman" w:cs="Times New Roman"/>
          <w:color w:val="000000" w:themeColor="text1"/>
          <w:sz w:val="32"/>
          <w:szCs w:val="32"/>
          <w:lang w:val="en-US" w:eastAsia="zh-CN"/>
          <w14:textFill>
            <w14:solidFill>
              <w14:schemeClr w14:val="tx1"/>
            </w14:solidFill>
          </w14:textFill>
        </w:rPr>
        <w:t>服务</w:t>
      </w:r>
      <w:r>
        <w:rPr>
          <w:rFonts w:hint="default" w:ascii="Times New Roman" w:hAnsi="Times New Roman" w:eastAsia="仿宋_GB2312" w:cs="Times New Roman"/>
          <w:color w:val="000000" w:themeColor="text1"/>
          <w:sz w:val="32"/>
          <w:szCs w:val="32"/>
          <w14:textFill>
            <w14:solidFill>
              <w14:schemeClr w14:val="tx1"/>
            </w14:solidFill>
          </w14:textFill>
        </w:rPr>
        <w:t>中心。大柳塔试验区、高家堡等一批重点镇扩容提质。建成阳崖沟等89个美丽乡村和纳林</w:t>
      </w:r>
      <w:r>
        <w:rPr>
          <w:rFonts w:hint="eastAsia" w:ascii="Times New Roman" w:hAnsi="Times New Roman" w:cs="Times New Roman"/>
          <w:color w:val="000000" w:themeColor="text1"/>
          <w:sz w:val="32"/>
          <w:szCs w:val="32"/>
          <w:lang w:val="en-US" w:eastAsia="zh-CN"/>
          <w14:textFill>
            <w14:solidFill>
              <w14:schemeClr w14:val="tx1"/>
            </w14:solidFill>
          </w14:textFill>
        </w:rPr>
        <w:t>采</w:t>
      </w:r>
      <w:r>
        <w:rPr>
          <w:rFonts w:hint="default" w:ascii="Times New Roman" w:hAnsi="Times New Roman" w:eastAsia="仿宋_GB2312" w:cs="Times New Roman"/>
          <w:color w:val="000000" w:themeColor="text1"/>
          <w:sz w:val="32"/>
          <w:szCs w:val="32"/>
          <w14:textFill>
            <w14:solidFill>
              <w14:schemeClr w14:val="tx1"/>
            </w14:solidFill>
          </w14:textFill>
        </w:rPr>
        <w:t>当等</w:t>
      </w:r>
      <w:r>
        <w:rPr>
          <w:rFonts w:hint="default" w:ascii="Times New Roman" w:hAnsi="Times New Roman" w:eastAsia="仿宋_GB2312" w:cs="Times New Roman"/>
          <w:sz w:val="32"/>
          <w:szCs w:val="32"/>
          <w:shd w:val="clear" w:color="auto" w:fill="FFFFFF"/>
        </w:rPr>
        <w:t>44个乡村振兴示范村</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600" w:lineRule="exact"/>
        <w:ind w:firstLine="643"/>
        <w:jc w:val="both"/>
        <w:textAlignment w:val="auto"/>
        <w:rPr>
          <w:rFonts w:hint="default" w:ascii="Times New Roman" w:hAnsi="Times New Roman" w:eastAsia="仿宋_GB2312" w:cs="Times New Roman"/>
          <w:sz w:val="32"/>
          <w:szCs w:val="32"/>
          <w:shd w:val="clear" w:color="auto" w:fill="FFFFFF"/>
        </w:rPr>
      </w:pPr>
      <w:r>
        <w:rPr>
          <w:rFonts w:hint="default" w:ascii="Times New Roman" w:hAnsi="Times New Roman" w:eastAsia="楷体_GB2312" w:cs="Times New Roman"/>
          <w:b/>
          <w:bCs/>
          <w:sz w:val="32"/>
          <w:szCs w:val="32"/>
          <w:lang w:val="en-US" w:eastAsia="zh-CN" w:bidi="ar-SA"/>
        </w:rPr>
        <w:t>基础设施实现新跨越。</w:t>
      </w:r>
      <w:r>
        <w:rPr>
          <w:rFonts w:hint="default" w:ascii="Times New Roman" w:hAnsi="Times New Roman" w:eastAsia="仿宋_GB2312" w:cs="Times New Roman"/>
          <w:color w:val="000000" w:themeColor="text1"/>
          <w:sz w:val="32"/>
          <w:szCs w:val="32"/>
          <w14:textFill>
            <w14:solidFill>
              <w14:schemeClr w14:val="tx1"/>
            </w14:solidFill>
          </w14:textFill>
        </w:rPr>
        <w:t>全面推进综合立体交通网络建设，</w:t>
      </w:r>
      <w:r>
        <w:rPr>
          <w:rFonts w:hint="eastAsia" w:ascii="Times New Roman" w:hAnsi="Times New Roman" w:cs="Times New Roman"/>
          <w:color w:val="000000" w:themeColor="text1"/>
          <w:sz w:val="32"/>
          <w:szCs w:val="32"/>
          <w:lang w:val="en-US" w:eastAsia="zh-CN"/>
          <w14:textFill>
            <w14:solidFill>
              <w14:schemeClr w14:val="tx1"/>
            </w14:solidFill>
          </w14:textFill>
        </w:rPr>
        <w:t>开通神木至西安动车。</w:t>
      </w:r>
      <w:r>
        <w:rPr>
          <w:rFonts w:hint="default" w:ascii="Times New Roman" w:hAnsi="Times New Roman" w:eastAsia="仿宋_GB2312" w:cs="Times New Roman"/>
          <w:color w:val="000000" w:themeColor="text1"/>
          <w:sz w:val="32"/>
          <w:szCs w:val="32"/>
          <w14:textFill>
            <w14:solidFill>
              <w14:schemeClr w14:val="tx1"/>
            </w14:solidFill>
          </w14:textFill>
        </w:rPr>
        <w:t>通用机场基本建成，延榆鄂高铁红碱淖设站通过可研评审，靖神、准神铁路建成通车，新增铁路运输能力</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5000</w:t>
      </w:r>
      <w:r>
        <w:rPr>
          <w:rFonts w:hint="default" w:ascii="Times New Roman" w:hAnsi="Times New Roman" w:eastAsia="仿宋_GB2312" w:cs="Times New Roman"/>
          <w:color w:val="000000" w:themeColor="text1"/>
          <w:sz w:val="32"/>
          <w:szCs w:val="32"/>
          <w14:textFill>
            <w14:solidFill>
              <w14:schemeClr w14:val="tx1"/>
            </w14:solidFill>
          </w14:textFill>
        </w:rPr>
        <w:t>万吨，东西过境、沿黄公路等百亿交通项目加速推进，行政村通车率达100%，成功创建省级“四好农村路</w:t>
      </w:r>
      <w:r>
        <w:rPr>
          <w:rStyle w:val="37"/>
          <w:rFonts w:hint="default" w:ascii="Times New Roman" w:hAnsi="Times New Roman" w:eastAsia="仿宋_GB2312" w:cs="Times New Roman"/>
          <w:color w:val="000000" w:themeColor="text1"/>
          <w:sz w:val="32"/>
          <w:szCs w:val="32"/>
          <w14:textFill>
            <w14:solidFill>
              <w14:schemeClr w14:val="tx1"/>
            </w14:solidFill>
          </w14:textFill>
        </w:rPr>
        <w:footnoteReference w:id="1"/>
      </w:r>
      <w:r>
        <w:rPr>
          <w:rFonts w:hint="default" w:ascii="Times New Roman" w:hAnsi="Times New Roman" w:eastAsia="仿宋_GB2312" w:cs="Times New Roman"/>
          <w:color w:val="000000" w:themeColor="text1"/>
          <w:sz w:val="32"/>
          <w:szCs w:val="32"/>
          <w14:textFill>
            <w14:solidFill>
              <w14:schemeClr w14:val="tx1"/>
            </w14:solidFill>
          </w14:textFill>
        </w:rPr>
        <w:t>”示范县。神渭输煤管道、神木至河北南网、陕北至关中二回路等煤电外送通道建成投运，陕北至武汉输变电工程开工建设。黄河东线马镇引水工程全线开工，神府供水工程顺利推进，新增供水能力</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2500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万方，</w:t>
      </w:r>
      <w:r>
        <w:rPr>
          <w:rFonts w:hint="default" w:ascii="Times New Roman" w:hAnsi="Times New Roman" w:eastAsia="仿宋_GB2312" w:cs="Times New Roman"/>
          <w:color w:val="000000" w:themeColor="text1"/>
          <w:sz w:val="32"/>
          <w:szCs w:val="32"/>
          <w14:textFill>
            <w14:solidFill>
              <w14:schemeClr w14:val="tx1"/>
            </w14:solidFill>
          </w14:textFill>
        </w:rPr>
        <w:t>农村自来水普及率达9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14:textFill>
            <w14:solidFill>
              <w14:schemeClr w14:val="tx1"/>
            </w14:solidFill>
          </w14:textFill>
        </w:rPr>
        <w:t>%以上，城乡生活饮用水安全保障率达100%。4G网络基本实现镇村全覆盖，新建5G基站185个。构建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市镇</w:t>
      </w:r>
      <w:r>
        <w:rPr>
          <w:rFonts w:hint="eastAsia" w:ascii="Times New Roman" w:hAnsi="Times New Roman"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街</w:t>
      </w:r>
      <w:r>
        <w:rPr>
          <w:rFonts w:hint="eastAsia" w:ascii="Times New Roman" w:hAnsi="Times New Roman"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村三级物流体系</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，镇</w:t>
      </w:r>
      <w:r>
        <w:rPr>
          <w:rFonts w:hint="eastAsia" w:ascii="Times New Roman" w:hAnsi="Times New Roman"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街</w:t>
      </w:r>
      <w:r>
        <w:rPr>
          <w:rFonts w:hint="eastAsia" w:ascii="Times New Roman" w:hAnsi="Times New Roman"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村</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电商服务站覆盖率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分别达</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100%</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70%，建成国家电子商务示范县。</w:t>
      </w:r>
    </w:p>
    <w:p>
      <w:pPr>
        <w:pStyle w:val="2"/>
        <w:keepNext w:val="0"/>
        <w:keepLines w:val="0"/>
        <w:pageBreakBefore w:val="0"/>
        <w:widowControl w:val="0"/>
        <w:kinsoku/>
        <w:wordWrap/>
        <w:overflowPunct/>
        <w:topLinePunct w:val="0"/>
        <w:autoSpaceDE/>
        <w:autoSpaceDN/>
        <w:bidi w:val="0"/>
        <w:adjustRightInd w:val="0"/>
        <w:snapToGrid w:val="0"/>
        <w:spacing w:line="600" w:lineRule="exact"/>
        <w:ind w:firstLine="643"/>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sz w:val="32"/>
          <w:szCs w:val="32"/>
          <w:lang w:val="en-US" w:eastAsia="zh-CN" w:bidi="ar-SA"/>
        </w:rPr>
        <w:t>三大攻坚战夺取新胜利。</w:t>
      </w:r>
      <w:r>
        <w:rPr>
          <w:rFonts w:hint="default" w:ascii="Times New Roman" w:hAnsi="Times New Roman" w:eastAsia="仿宋_GB2312" w:cs="Times New Roman"/>
          <w:color w:val="000000" w:themeColor="text1"/>
          <w:sz w:val="32"/>
          <w:szCs w:val="32"/>
          <w14:textFill>
            <w14:solidFill>
              <w14:schemeClr w14:val="tx1"/>
            </w14:solidFill>
          </w14:textFill>
        </w:rPr>
        <w:t>脱贫攻坚取得决定性胜利，累计投入8.54亿元，全市24个贫困村全部出列，8011名贫困人口稳定脱贫，</w:t>
      </w:r>
      <w:r>
        <w:rPr>
          <w:rFonts w:hint="eastAsia" w:ascii="Times New Roman" w:hAnsi="Times New Roman" w:cs="Times New Roman"/>
          <w:color w:val="000000" w:themeColor="text1"/>
          <w:sz w:val="32"/>
          <w:szCs w:val="32"/>
          <w:lang w:eastAsia="zh-CN"/>
          <w14:textFill>
            <w14:solidFill>
              <w14:schemeClr w14:val="tx1"/>
            </w14:solidFill>
          </w14:textFill>
        </w:rPr>
        <w:t>消除绝对贫困</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。污染防治扎实推进</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铁腕治污</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三十一项攻坚行动扎实开展，整治</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散乱污企业</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261户</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b w:val="0"/>
          <w:bCs w:val="0"/>
          <w:color w:val="auto"/>
          <w:sz w:val="32"/>
          <w:szCs w:val="32"/>
          <w:highlight w:val="none"/>
          <w:lang w:val="en-US" w:eastAsia="zh-CN"/>
        </w:rPr>
        <w:t>拆改10蒸吨及以下燃煤锅炉929台</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关停煤电机组24.4万千瓦</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val="0"/>
          <w:bCs w:val="0"/>
          <w:sz w:val="32"/>
          <w:szCs w:val="32"/>
          <w:highlight w:val="none"/>
          <w:lang w:val="en-US" w:eastAsia="zh-CN"/>
        </w:rPr>
        <w:t>实施</w:t>
      </w:r>
      <w:r>
        <w:rPr>
          <w:rFonts w:hint="default" w:ascii="Times New Roman" w:hAnsi="Times New Roman" w:eastAsia="仿宋_GB2312" w:cs="Times New Roman"/>
          <w:b w:val="0"/>
          <w:bCs w:val="0"/>
          <w:sz w:val="32"/>
          <w:szCs w:val="32"/>
          <w:highlight w:val="none"/>
          <w:lang w:val="zh-CN"/>
        </w:rPr>
        <w:t>城区散煤治理</w:t>
      </w:r>
      <w:r>
        <w:rPr>
          <w:rFonts w:hint="default" w:ascii="Times New Roman" w:hAnsi="Times New Roman" w:eastAsia="仿宋_GB2312" w:cs="Times New Roman"/>
          <w:b w:val="0"/>
          <w:bCs w:val="0"/>
          <w:sz w:val="32"/>
          <w:szCs w:val="32"/>
          <w:highlight w:val="none"/>
          <w:lang w:val="en-US" w:eastAsia="zh-CN"/>
        </w:rPr>
        <w:t>工程</w:t>
      </w:r>
      <w:r>
        <w:rPr>
          <w:rFonts w:hint="default" w:ascii="Times New Roman" w:hAnsi="Times New Roman" w:eastAsia="仿宋_GB2312" w:cs="Times New Roman"/>
          <w:b w:val="0"/>
          <w:bCs w:val="0"/>
          <w:sz w:val="32"/>
          <w:szCs w:val="32"/>
          <w:highlight w:val="none"/>
          <w:lang w:val="zh-CN"/>
        </w:rPr>
        <w:t>，</w:t>
      </w:r>
      <w:r>
        <w:rPr>
          <w:rFonts w:hint="default" w:ascii="Times New Roman" w:hAnsi="Times New Roman" w:eastAsia="仿宋_GB2312" w:cs="Times New Roman"/>
          <w:b w:val="0"/>
          <w:bCs w:val="0"/>
          <w:sz w:val="32"/>
          <w:szCs w:val="32"/>
          <w:highlight w:val="none"/>
          <w:lang w:val="en-US" w:eastAsia="zh-CN"/>
        </w:rPr>
        <w:t>中心城区散户燃烧兰炭实现全覆盖。</w:t>
      </w:r>
      <w:r>
        <w:rPr>
          <w:rFonts w:hint="default" w:ascii="Times New Roman" w:hAnsi="Times New Roman" w:eastAsia="仿宋_GB2312" w:cs="Times New Roman"/>
          <w:sz w:val="32"/>
          <w:szCs w:val="32"/>
          <w:highlight w:val="none"/>
          <w:shd w:val="clear" w:color="auto" w:fill="FFFFFF"/>
        </w:rPr>
        <w:t>城区垃圾、污水处理率分别达到92%、85%</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城区空气优良天数稳定在300天以上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较“十二五”末增加48天，主要污染因子指数持续下降。</w:t>
      </w:r>
      <w:r>
        <w:rPr>
          <w:rFonts w:hint="eastAsia" w:ascii="Times New Roman" w:hAnsi="Times New Roman" w:cs="Times New Roman"/>
          <w:color w:val="auto"/>
          <w:sz w:val="32"/>
          <w:szCs w:val="32"/>
          <w:highlight w:val="none"/>
          <w:lang w:val="en-US" w:eastAsia="zh-CN"/>
        </w:rPr>
        <w:t>主要河流水质持续改善，</w:t>
      </w:r>
      <w:r>
        <w:rPr>
          <w:rFonts w:hint="default" w:ascii="Times New Roman" w:hAnsi="Times New Roman" w:eastAsia="仿宋_GB2312" w:cs="Times New Roman"/>
          <w:color w:val="auto"/>
          <w:sz w:val="32"/>
          <w:szCs w:val="32"/>
          <w:highlight w:val="none"/>
          <w:lang w:val="en-US" w:eastAsia="zh-CN"/>
        </w:rPr>
        <w:t>窟野河温家川</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秃尾河高家川国考断面</w:t>
      </w:r>
      <w:r>
        <w:rPr>
          <w:rFonts w:hint="eastAsia" w:ascii="Times New Roman" w:hAnsi="Times New Roman" w:cs="Times New Roman"/>
          <w:color w:val="auto"/>
          <w:sz w:val="32"/>
          <w:szCs w:val="32"/>
          <w:highlight w:val="none"/>
          <w:lang w:val="en-US" w:eastAsia="zh-CN"/>
        </w:rPr>
        <w:t>分别达到</w:t>
      </w:r>
      <w:r>
        <w:rPr>
          <w:rFonts w:hint="default" w:ascii="Times New Roman" w:hAnsi="Times New Roman" w:eastAsia="仿宋_GB2312" w:cs="Times New Roman"/>
          <w:color w:val="auto"/>
          <w:sz w:val="32"/>
          <w:szCs w:val="32"/>
          <w:highlight w:val="none"/>
          <w:lang w:val="en-US" w:eastAsia="zh-CN"/>
        </w:rPr>
        <w:t>Ⅲ</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Ⅱ类水质。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单位GDP能耗</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较“十二五”下降</w:t>
      </w:r>
      <w:r>
        <w:rPr>
          <w:rFonts w:hint="eastAsia" w:ascii="Times New Roman" w:hAnsi="Times New Roman" w:eastAsia="仿宋_GB2312" w:cs="Times New Roman"/>
          <w:color w:val="000000" w:themeColor="text1"/>
          <w:kern w:val="2"/>
          <w:sz w:val="32"/>
          <w:szCs w:val="32"/>
          <w:highlight w:val="none"/>
          <w:lang w:val="en-US" w:eastAsia="zh-CN"/>
          <w14:textFill>
            <w14:solidFill>
              <w14:schemeClr w14:val="tx1"/>
            </w14:solidFill>
          </w14:textFill>
        </w:rPr>
        <w:t>16</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%。防范化解重大风险取得积极成效，银行</w:t>
      </w:r>
      <w:r>
        <w:rPr>
          <w:rFonts w:hint="default" w:ascii="Times New Roman" w:hAnsi="Times New Roman" w:eastAsia="仿宋_GB2312" w:cs="Times New Roman"/>
          <w:color w:val="000000" w:themeColor="text1"/>
          <w:kern w:val="2"/>
          <w:sz w:val="32"/>
          <w:szCs w:val="32"/>
          <w14:textFill>
            <w14:solidFill>
              <w14:schemeClr w14:val="tx1"/>
            </w14:solidFill>
          </w14:textFill>
        </w:rPr>
        <w:t>贷款不良率</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由</w:t>
      </w:r>
      <w:r>
        <w:rPr>
          <w:rFonts w:hint="eastAsia" w:ascii="Times New Roman" w:hAnsi="Times New Roman" w:eastAsia="仿宋_GB2312" w:cs="Times New Roman"/>
          <w:color w:val="000000" w:themeColor="text1"/>
          <w:kern w:val="2"/>
          <w:sz w:val="32"/>
          <w:szCs w:val="32"/>
          <w:highlight w:val="none"/>
          <w:lang w:val="en-US" w:eastAsia="zh-CN"/>
          <w14:textFill>
            <w14:solidFill>
              <w14:schemeClr w14:val="tx1"/>
            </w14:solidFill>
          </w14:textFill>
        </w:rPr>
        <w:t>14.17</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%降</w:t>
      </w:r>
      <w:r>
        <w:rPr>
          <w:rFonts w:hint="default" w:ascii="Times New Roman" w:hAnsi="Times New Roman" w:eastAsia="仿宋_GB2312" w:cs="Times New Roman"/>
          <w:color w:val="000000" w:themeColor="text1"/>
          <w:sz w:val="32"/>
          <w:szCs w:val="32"/>
          <w14:textFill>
            <w14:solidFill>
              <w14:schemeClr w14:val="tx1"/>
            </w14:solidFill>
          </w14:textFill>
        </w:rPr>
        <w:t>至2.</w:t>
      </w:r>
      <w:r>
        <w:rPr>
          <w:rFonts w:hint="eastAsia" w:ascii="Times New Roman" w:hAnsi="Times New Roman"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多措并举推动社会信用体系建设，处置非</w:t>
      </w:r>
      <w:r>
        <w:rPr>
          <w:rFonts w:hint="eastAsia" w:ascii="Times New Roman" w:hAnsi="Times New Roman" w:cs="Times New Roman"/>
          <w:color w:val="000000" w:themeColor="text1"/>
          <w:sz w:val="32"/>
          <w:szCs w:val="32"/>
          <w:lang w:val="en-US" w:eastAsia="zh-CN"/>
          <w14:textFill>
            <w14:solidFill>
              <w14:schemeClr w14:val="tx1"/>
            </w14:solidFill>
          </w14:textFill>
        </w:rPr>
        <w:t>吸</w:t>
      </w:r>
      <w:r>
        <w:rPr>
          <w:rFonts w:hint="default" w:ascii="Times New Roman" w:hAnsi="Times New Roman" w:eastAsia="仿宋_GB2312" w:cs="Times New Roman"/>
          <w:color w:val="000000" w:themeColor="text1"/>
          <w:sz w:val="32"/>
          <w:szCs w:val="32"/>
          <w14:textFill>
            <w14:solidFill>
              <w14:schemeClr w14:val="tx1"/>
            </w14:solidFill>
          </w14:textFill>
        </w:rPr>
        <w:t>积案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122</w:t>
      </w:r>
      <w:r>
        <w:rPr>
          <w:rFonts w:hint="default" w:ascii="Times New Roman" w:hAnsi="Times New Roman" w:eastAsia="仿宋_GB2312" w:cs="Times New Roman"/>
          <w:color w:val="000000" w:themeColor="text1"/>
          <w:sz w:val="32"/>
          <w:szCs w:val="32"/>
          <w14:textFill>
            <w14:solidFill>
              <w14:schemeClr w14:val="tx1"/>
            </w14:solidFill>
          </w14:textFill>
        </w:rPr>
        <w:t>件，挽回损失</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30</w:t>
      </w:r>
      <w:r>
        <w:rPr>
          <w:rFonts w:hint="default" w:ascii="Times New Roman" w:hAnsi="Times New Roman" w:eastAsia="仿宋_GB2312" w:cs="Times New Roman"/>
          <w:color w:val="000000" w:themeColor="text1"/>
          <w:sz w:val="32"/>
          <w:szCs w:val="32"/>
          <w14:textFill>
            <w14:solidFill>
              <w14:schemeClr w14:val="tx1"/>
            </w14:solidFill>
          </w14:textFill>
        </w:rPr>
        <w:t>亿元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以上</w:t>
      </w:r>
      <w:r>
        <w:rPr>
          <w:rFonts w:hint="default" w:ascii="Times New Roman" w:hAnsi="Times New Roman" w:eastAsia="仿宋_GB2312" w:cs="Times New Roman"/>
          <w:color w:val="000000" w:themeColor="text1"/>
          <w:sz w:val="32"/>
          <w:szCs w:val="32"/>
          <w14:textFill>
            <w14:solidFill>
              <w14:schemeClr w14:val="tx1"/>
            </w14:solidFill>
          </w14:textFill>
        </w:rPr>
        <w:t>。紧盯安全维稳等重点领域，出台从严从重处罚煤矿违法违规行为措施12条，150余件信访积案得到有效化解，扫黑除恶专项斗争取得决定性成果，安全生产形势稳定好转，社会大局总体和谐稳定。</w:t>
      </w:r>
    </w:p>
    <w:p>
      <w:pPr>
        <w:keepNext w:val="0"/>
        <w:keepLines w:val="0"/>
        <w:pageBreakBefore w:val="0"/>
        <w:widowControl w:val="0"/>
        <w:kinsoku/>
        <w:wordWrap/>
        <w:overflowPunct/>
        <w:topLinePunct w:val="0"/>
        <w:autoSpaceDE/>
        <w:autoSpaceDN/>
        <w:bidi w:val="0"/>
        <w:adjustRightInd w:val="0"/>
        <w:snapToGrid w:val="0"/>
        <w:spacing w:line="600" w:lineRule="exact"/>
        <w:ind w:firstLine="643"/>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sz w:val="32"/>
          <w:szCs w:val="32"/>
          <w:lang w:val="en-US" w:eastAsia="zh-CN" w:bidi="ar-SA"/>
        </w:rPr>
        <w:t>关键改革取得新突破。</w:t>
      </w:r>
      <w:r>
        <w:rPr>
          <w:rFonts w:hint="default" w:ascii="Times New Roman" w:hAnsi="Times New Roman" w:eastAsia="仿宋_GB2312" w:cs="Times New Roman"/>
          <w:color w:val="000000" w:themeColor="text1"/>
          <w:sz w:val="32"/>
          <w:szCs w:val="32"/>
          <w14:textFill>
            <w14:solidFill>
              <w14:schemeClr w14:val="tx1"/>
            </w14:solidFill>
          </w14:textFill>
        </w:rPr>
        <w:t>体制机制改革取得一系列突破性成果，成功撤县设市，党政群和事业单位机构改革全面完成。率先</w:t>
      </w:r>
      <w:r>
        <w:rPr>
          <w:rFonts w:hint="eastAsia" w:cs="Times New Roman"/>
          <w:color w:val="000000" w:themeColor="text1"/>
          <w:sz w:val="32"/>
          <w:szCs w:val="32"/>
          <w:lang w:val="en-US" w:eastAsia="zh-CN"/>
          <w14:textFill>
            <w14:solidFill>
              <w14:schemeClr w14:val="tx1"/>
            </w14:solidFill>
          </w14:textFill>
        </w:rPr>
        <w:t>在全省</w:t>
      </w:r>
      <w:r>
        <w:rPr>
          <w:rFonts w:hint="default" w:ascii="Times New Roman" w:hAnsi="Times New Roman" w:eastAsia="仿宋_GB2312" w:cs="Times New Roman"/>
          <w:color w:val="000000" w:themeColor="text1"/>
          <w:sz w:val="32"/>
          <w:szCs w:val="32"/>
          <w14:textFill>
            <w14:solidFill>
              <w14:schemeClr w14:val="tx1"/>
            </w14:solidFill>
          </w14:textFill>
        </w:rPr>
        <w:t>启动国资国企改革，推动国有资本投资运营集团与集体资本、民营资本深度融合，混合所有制发展模式成为全省典范。北元集团成功上市，实现</w:t>
      </w:r>
      <w:r>
        <w:rPr>
          <w:rFonts w:hint="eastAsia" w:cs="Times New Roman"/>
          <w:color w:val="000000" w:themeColor="text1"/>
          <w:sz w:val="32"/>
          <w:szCs w:val="32"/>
          <w:lang w:val="en-US" w:eastAsia="zh-CN"/>
          <w14:textFill>
            <w14:solidFill>
              <w14:schemeClr w14:val="tx1"/>
            </w14:solidFill>
          </w14:textFill>
        </w:rPr>
        <w:t>榆林</w:t>
      </w:r>
      <w:r>
        <w:rPr>
          <w:rFonts w:hint="default" w:ascii="Times New Roman" w:hAnsi="Times New Roman" w:eastAsia="仿宋_GB2312" w:cs="Times New Roman"/>
          <w:color w:val="000000" w:themeColor="text1"/>
          <w:sz w:val="32"/>
          <w:szCs w:val="32"/>
          <w14:textFill>
            <w14:solidFill>
              <w14:schemeClr w14:val="tx1"/>
            </w14:solidFill>
          </w14:textFill>
        </w:rPr>
        <w:t>主板上市企业“零突破”。在全省率先推开产业园区改革，锦界工业园区晋升为省级高新技术产业开发区，园区行政审批、人事薪酬、体制机制等方面改革全面</w:t>
      </w:r>
      <w:r>
        <w:rPr>
          <w:rFonts w:hint="eastAsia" w:cs="Times New Roman"/>
          <w:color w:val="000000" w:themeColor="text1"/>
          <w:sz w:val="32"/>
          <w:szCs w:val="32"/>
          <w:lang w:eastAsia="zh-CN"/>
          <w14:textFill>
            <w14:solidFill>
              <w14:schemeClr w14:val="tx1"/>
            </w14:solidFill>
          </w14:textFill>
        </w:rPr>
        <w:t>推进</w:t>
      </w:r>
      <w:r>
        <w:rPr>
          <w:rFonts w:hint="default" w:ascii="Times New Roman" w:hAnsi="Times New Roman" w:eastAsia="仿宋_GB2312" w:cs="Times New Roman"/>
          <w:color w:val="000000" w:themeColor="text1"/>
          <w:sz w:val="32"/>
          <w:szCs w:val="32"/>
          <w14:textFill>
            <w14:solidFill>
              <w14:schemeClr w14:val="tx1"/>
            </w14:solidFill>
          </w14:textFill>
        </w:rPr>
        <w:t>。增量配电网改革取得实质性进展，锦界330变电站项目核准。“放管服”改革纵深推进，736个服务事项全部进驻政务中心，营商环境进入全国百强。招商引资成果丰硕，累计</w:t>
      </w:r>
      <w:r>
        <w:rPr>
          <w:rFonts w:hint="eastAsia" w:cs="Times New Roman"/>
          <w:color w:val="000000" w:themeColor="text1"/>
          <w:sz w:val="32"/>
          <w:szCs w:val="32"/>
          <w:lang w:eastAsia="zh-CN"/>
          <w14:textFill>
            <w14:solidFill>
              <w14:schemeClr w14:val="tx1"/>
            </w14:solidFill>
          </w14:textFill>
        </w:rPr>
        <w:t>签</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约</w:t>
      </w:r>
      <w:r>
        <w:rPr>
          <w:rFonts w:hint="default" w:ascii="Times New Roman" w:hAnsi="Times New Roman" w:eastAsia="仿宋_GB2312" w:cs="Times New Roman"/>
          <w:color w:val="000000" w:themeColor="text1"/>
          <w:sz w:val="32"/>
          <w:szCs w:val="32"/>
          <w14:textFill>
            <w14:solidFill>
              <w14:schemeClr w14:val="tx1"/>
            </w14:solidFill>
          </w14:textFill>
        </w:rPr>
        <w:t>项目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171</w:t>
      </w:r>
      <w:r>
        <w:rPr>
          <w:rFonts w:hint="default" w:ascii="Times New Roman" w:hAnsi="Times New Roman" w:eastAsia="仿宋_GB2312" w:cs="Times New Roman"/>
          <w:color w:val="000000" w:themeColor="text1"/>
          <w:sz w:val="32"/>
          <w:szCs w:val="32"/>
          <w14:textFill>
            <w14:solidFill>
              <w14:schemeClr w14:val="tx1"/>
            </w14:solidFill>
          </w14:textFill>
        </w:rPr>
        <w:t>个，到位资金</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818</w:t>
      </w:r>
      <w:r>
        <w:rPr>
          <w:rFonts w:hint="default" w:ascii="Times New Roman" w:hAnsi="Times New Roman" w:eastAsia="仿宋_GB2312" w:cs="Times New Roman"/>
          <w:color w:val="000000" w:themeColor="text1"/>
          <w:sz w:val="32"/>
          <w:szCs w:val="32"/>
          <w14:textFill>
            <w14:solidFill>
              <w14:schemeClr w14:val="tx1"/>
            </w14:solidFill>
          </w14:textFill>
        </w:rPr>
        <w:t>亿元。科技创新引领工程纵深开展，科技资金累计支出达25.6亿元，低阶粉煤回转热解等</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20余</w:t>
      </w:r>
      <w:r>
        <w:rPr>
          <w:rFonts w:hint="default" w:ascii="Times New Roman" w:hAnsi="Times New Roman" w:eastAsia="仿宋_GB2312" w:cs="Times New Roman"/>
          <w:color w:val="000000" w:themeColor="text1"/>
          <w:sz w:val="32"/>
          <w:szCs w:val="32"/>
          <w14:textFill>
            <w14:solidFill>
              <w14:schemeClr w14:val="tx1"/>
            </w14:solidFill>
          </w14:textFill>
        </w:rPr>
        <w:t>项重大技术取得关键性突破，专利申请量</w:t>
      </w:r>
      <w:r>
        <w:rPr>
          <w:rFonts w:hint="eastAsia"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授权量</w:t>
      </w:r>
      <w:r>
        <w:rPr>
          <w:rFonts w:hint="eastAsia" w:cs="Times New Roman"/>
          <w:color w:val="000000" w:themeColor="text1"/>
          <w:sz w:val="32"/>
          <w:szCs w:val="32"/>
          <w:lang w:eastAsia="zh-CN"/>
          <w14:textFill>
            <w14:solidFill>
              <w14:schemeClr w14:val="tx1"/>
            </w14:solidFill>
          </w14:textFill>
        </w:rPr>
        <w:t>分别较</w:t>
      </w:r>
      <w:r>
        <w:rPr>
          <w:rFonts w:hint="default" w:ascii="Times New Roman" w:hAnsi="Times New Roman" w:eastAsia="仿宋_GB2312" w:cs="Times New Roman"/>
          <w:color w:val="000000" w:themeColor="text1"/>
          <w:sz w:val="32"/>
          <w:szCs w:val="32"/>
          <w14:textFill>
            <w14:solidFill>
              <w14:schemeClr w14:val="tx1"/>
            </w14:solidFill>
          </w14:textFill>
        </w:rPr>
        <w:t>“十二五”末</w:t>
      </w:r>
      <w:r>
        <w:rPr>
          <w:rFonts w:hint="eastAsia" w:cs="Times New Roman"/>
          <w:color w:val="000000" w:themeColor="text1"/>
          <w:sz w:val="32"/>
          <w:szCs w:val="32"/>
          <w:lang w:eastAsia="zh-CN"/>
          <w14:textFill>
            <w14:solidFill>
              <w14:schemeClr w14:val="tx1"/>
            </w14:solidFill>
          </w14:textFill>
        </w:rPr>
        <w:t>增长</w:t>
      </w:r>
      <w:r>
        <w:rPr>
          <w:rFonts w:hint="eastAsia" w:cs="Times New Roman"/>
          <w:color w:val="000000" w:themeColor="text1"/>
          <w:sz w:val="32"/>
          <w:szCs w:val="32"/>
          <w:lang w:val="en-US" w:eastAsia="zh-CN"/>
          <w14:textFill>
            <w14:solidFill>
              <w14:schemeClr w14:val="tx1"/>
            </w14:solidFill>
          </w14:textFill>
        </w:rPr>
        <w:t>110%、120%</w:t>
      </w:r>
      <w:r>
        <w:rPr>
          <w:rFonts w:hint="default" w:ascii="Times New Roman" w:hAnsi="Times New Roman" w:eastAsia="仿宋_GB2312" w:cs="Times New Roman"/>
          <w:color w:val="000000" w:themeColor="text1"/>
          <w:sz w:val="32"/>
          <w:szCs w:val="32"/>
          <w14:textFill>
            <w14:solidFill>
              <w14:schemeClr w14:val="tx1"/>
            </w14:solidFill>
          </w14:textFill>
        </w:rPr>
        <w:t>以上。</w:t>
      </w:r>
    </w:p>
    <w:p>
      <w:pPr>
        <w:keepNext w:val="0"/>
        <w:keepLines w:val="0"/>
        <w:pageBreakBefore w:val="0"/>
        <w:widowControl w:val="0"/>
        <w:kinsoku/>
        <w:wordWrap/>
        <w:overflowPunct/>
        <w:topLinePunct w:val="0"/>
        <w:autoSpaceDE/>
        <w:autoSpaceDN/>
        <w:bidi w:val="0"/>
        <w:adjustRightInd w:val="0"/>
        <w:snapToGrid w:val="0"/>
        <w:spacing w:line="600" w:lineRule="exact"/>
        <w:ind w:firstLine="643"/>
        <w:jc w:val="both"/>
        <w:textAlignment w:val="auto"/>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b/>
          <w:bCs/>
          <w:sz w:val="32"/>
          <w:szCs w:val="32"/>
          <w:lang w:val="en-US" w:eastAsia="zh-CN" w:bidi="ar-SA"/>
        </w:rPr>
        <w:t>民生福祉得到新提升。</w:t>
      </w:r>
      <w:r>
        <w:rPr>
          <w:rFonts w:hint="default" w:ascii="Times New Roman" w:hAnsi="Times New Roman" w:eastAsia="仿宋_GB2312" w:cs="Times New Roman"/>
          <w:color w:val="000000" w:themeColor="text1"/>
          <w:sz w:val="32"/>
          <w:szCs w:val="32"/>
          <w14:textFill>
            <w14:solidFill>
              <w14:schemeClr w14:val="tx1"/>
            </w14:solidFill>
          </w14:textFill>
        </w:rPr>
        <w:t>积极落实高校毕业生、农民工、退役军人等群体就业创业政策，累计新增就业15890人次，城镇登记失业率控制在3.</w:t>
      </w:r>
      <w:r>
        <w:rPr>
          <w:rFonts w:hint="eastAsia"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%内。城乡居民人均可支配收入分别达到</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38868元</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17235元</w:t>
      </w:r>
      <w:r>
        <w:rPr>
          <w:rFonts w:hint="default" w:ascii="Times New Roman" w:hAnsi="Times New Roman" w:eastAsia="仿宋_GB2312" w:cs="Times New Roman"/>
          <w:color w:val="000000" w:themeColor="text1"/>
          <w:sz w:val="32"/>
          <w:szCs w:val="32"/>
          <w14:textFill>
            <w14:solidFill>
              <w14:schemeClr w14:val="tx1"/>
            </w14:solidFill>
          </w14:textFill>
        </w:rPr>
        <w:t>，较“十二五”末</w:t>
      </w:r>
      <w:r>
        <w:rPr>
          <w:rFonts w:hint="eastAsia" w:cs="Times New Roman"/>
          <w:color w:val="000000" w:themeColor="text1"/>
          <w:sz w:val="32"/>
          <w:szCs w:val="32"/>
          <w:lang w:eastAsia="zh-CN"/>
          <w14:textFill>
            <w14:solidFill>
              <w14:schemeClr w14:val="tx1"/>
            </w14:solidFill>
          </w14:textFill>
        </w:rPr>
        <w:t>年均</w:t>
      </w:r>
      <w:r>
        <w:rPr>
          <w:rFonts w:hint="default" w:ascii="Times New Roman" w:hAnsi="Times New Roman" w:eastAsia="仿宋_GB2312" w:cs="Times New Roman"/>
          <w:color w:val="000000" w:themeColor="text1"/>
          <w:sz w:val="32"/>
          <w:szCs w:val="32"/>
          <w14:textFill>
            <w14:solidFill>
              <w14:schemeClr w14:val="tx1"/>
            </w14:solidFill>
          </w14:textFill>
        </w:rPr>
        <w:t>增长</w:t>
      </w:r>
      <w:r>
        <w:rPr>
          <w:rFonts w:hint="eastAsia" w:cs="Times New Roman"/>
          <w:color w:val="000000" w:themeColor="text1"/>
          <w:sz w:val="32"/>
          <w:szCs w:val="32"/>
          <w:lang w:val="en-US" w:eastAsia="zh-CN"/>
          <w14:textFill>
            <w14:solidFill>
              <w14:schemeClr w14:val="tx1"/>
            </w14:solidFill>
          </w14:textFill>
        </w:rPr>
        <w:t>6.4</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w:t>
      </w:r>
      <w:r>
        <w:rPr>
          <w:rFonts w:hint="eastAsia"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%。教育高质量发展迈出坚实步伐，15年免费义务教育政策深入实施，职业技术学院分立办学。成功引进北师大、北大培文</w:t>
      </w:r>
      <w:r>
        <w:rPr>
          <w:rFonts w:hint="eastAsia" w:cs="Times New Roman"/>
          <w:color w:val="000000" w:themeColor="text1"/>
          <w:sz w:val="32"/>
          <w:szCs w:val="32"/>
          <w:lang w:eastAsia="zh-CN"/>
          <w14:textFill>
            <w14:solidFill>
              <w14:schemeClr w14:val="tx1"/>
            </w14:solidFill>
          </w14:textFill>
        </w:rPr>
        <w:t>、</w:t>
      </w:r>
      <w:r>
        <w:rPr>
          <w:rFonts w:hint="eastAsia" w:cs="Times New Roman"/>
          <w:color w:val="000000" w:themeColor="text1"/>
          <w:sz w:val="32"/>
          <w:szCs w:val="32"/>
          <w:lang w:val="en-US" w:eastAsia="zh-CN"/>
          <w14:textFill>
            <w14:solidFill>
              <w14:schemeClr w14:val="tx1"/>
            </w14:solidFill>
          </w14:textFill>
        </w:rPr>
        <w:t>西交康桥</w:t>
      </w:r>
      <w:r>
        <w:rPr>
          <w:rFonts w:hint="default" w:ascii="Times New Roman" w:hAnsi="Times New Roman" w:eastAsia="仿宋_GB2312" w:cs="Times New Roman"/>
          <w:color w:val="000000" w:themeColor="text1"/>
          <w:sz w:val="32"/>
          <w:szCs w:val="32"/>
          <w14:textFill>
            <w14:solidFill>
              <w14:schemeClr w14:val="tx1"/>
            </w14:solidFill>
          </w14:textFill>
        </w:rPr>
        <w:t>等优质教育资源，有效纾解优质师资、生源外流困境，新增中小学、幼儿园33所，学位3万多个。“健康神木”建设稳步推进，新冠肺炎疫情成功防控，高标准全民医保制度规范运行，市医院成为全省首家县级三乙综合医院，</w:t>
      </w:r>
      <w:r>
        <w:rPr>
          <w:rFonts w:hint="eastAsia" w:cs="Times New Roman"/>
          <w:color w:val="000000" w:themeColor="text1"/>
          <w:sz w:val="32"/>
          <w:szCs w:val="32"/>
          <w:lang w:val="en-US" w:eastAsia="zh-CN"/>
          <w14:textFill>
            <w14:solidFill>
              <w14:schemeClr w14:val="tx1"/>
            </w14:solidFill>
          </w14:textFill>
        </w:rPr>
        <w:t>市</w:t>
      </w:r>
      <w:r>
        <w:rPr>
          <w:rFonts w:hint="default" w:ascii="Times New Roman" w:hAnsi="Times New Roman" w:eastAsia="仿宋_GB2312" w:cs="Times New Roman"/>
          <w:color w:val="000000" w:themeColor="text1"/>
          <w:sz w:val="32"/>
          <w:szCs w:val="32"/>
          <w14:textFill>
            <w14:solidFill>
              <w14:schemeClr w14:val="tx1"/>
            </w14:solidFill>
          </w14:textFill>
        </w:rPr>
        <w:t>医院</w:t>
      </w:r>
      <w:r>
        <w:rPr>
          <w:rFonts w:hint="eastAsia" w:cs="Times New Roman"/>
          <w:color w:val="000000" w:themeColor="text1"/>
          <w:sz w:val="32"/>
          <w:szCs w:val="32"/>
          <w:lang w:val="en-US" w:eastAsia="zh-CN"/>
          <w14:textFill>
            <w14:solidFill>
              <w14:schemeClr w14:val="tx1"/>
            </w14:solidFill>
          </w14:textFill>
        </w:rPr>
        <w:t>新院区</w:t>
      </w:r>
      <w:r>
        <w:rPr>
          <w:rFonts w:hint="default" w:ascii="Times New Roman" w:hAnsi="Times New Roman" w:eastAsia="仿宋_GB2312" w:cs="Times New Roman"/>
          <w:color w:val="000000" w:themeColor="text1"/>
          <w:sz w:val="32"/>
          <w:szCs w:val="32"/>
          <w14:textFill>
            <w14:solidFill>
              <w14:schemeClr w14:val="tx1"/>
            </w14:solidFill>
          </w14:textFill>
        </w:rPr>
        <w:t>开工建设，</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16</w:t>
      </w:r>
      <w:r>
        <w:rPr>
          <w:rFonts w:hint="default" w:ascii="Times New Roman" w:hAnsi="Times New Roman" w:eastAsia="仿宋_GB2312" w:cs="Times New Roman"/>
          <w:color w:val="000000" w:themeColor="text1"/>
          <w:sz w:val="32"/>
          <w:szCs w:val="32"/>
          <w14:textFill>
            <w14:solidFill>
              <w14:schemeClr w14:val="tx1"/>
            </w14:solidFill>
          </w14:textFill>
        </w:rPr>
        <w:t>个基层卫生院完成改造。全面完善社会保障体系，累计发放各类救助资金近7亿元。智慧居家养老、医养结合等养老服务新业态加速发展，全市建成养老机构38家，建制村幸福院覆盖率达70%</w:t>
      </w:r>
      <w:r>
        <w:rPr>
          <w:rFonts w:hint="eastAsia" w:cs="Times New Roman"/>
          <w:color w:val="000000" w:themeColor="text1"/>
          <w:sz w:val="32"/>
          <w:szCs w:val="32"/>
          <w:lang w:eastAsia="zh-CN"/>
          <w14:textFill>
            <w14:solidFill>
              <w14:schemeClr w14:val="tx1"/>
            </w14:solidFill>
          </w14:textFill>
        </w:rPr>
        <w:t>，</w:t>
      </w:r>
      <w:r>
        <w:rPr>
          <w:rFonts w:hint="eastAsia" w:cs="Times New Roman"/>
          <w:color w:val="000000" w:themeColor="text1"/>
          <w:sz w:val="32"/>
          <w:szCs w:val="32"/>
          <w:lang w:val="en-US" w:eastAsia="zh-CN"/>
          <w14:textFill>
            <w14:solidFill>
              <w14:schemeClr w14:val="tx1"/>
            </w14:solidFill>
          </w14:textFill>
        </w:rPr>
        <w:t>每千名老年人拥有</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养老床位数</w:t>
      </w:r>
      <w:r>
        <w:rPr>
          <w:rFonts w:hint="eastAsia" w:cs="Times New Roman"/>
          <w:color w:val="000000" w:themeColor="text1"/>
          <w:sz w:val="32"/>
          <w:szCs w:val="32"/>
          <w:lang w:val="en-US" w:eastAsia="zh-CN"/>
          <w14:textFill>
            <w14:solidFill>
              <w14:schemeClr w14:val="tx1"/>
            </w14:solidFill>
          </w14:textFill>
        </w:rPr>
        <w:t>48张</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cs="Times New Roman"/>
          <w:color w:val="000000" w:themeColor="text1"/>
          <w:sz w:val="32"/>
          <w:szCs w:val="32"/>
          <w:lang w:val="en-US" w:eastAsia="zh-CN"/>
          <w14:textFill>
            <w14:solidFill>
              <w14:schemeClr w14:val="tx1"/>
            </w14:solidFill>
          </w14:textFill>
        </w:rPr>
        <w:t>处于全国领先</w:t>
      </w:r>
      <w:r>
        <w:rPr>
          <w:rFonts w:hint="default" w:ascii="Times New Roman" w:hAnsi="Times New Roman" w:eastAsia="仿宋_GB2312" w:cs="Times New Roman"/>
          <w:color w:val="000000" w:themeColor="text1"/>
          <w:sz w:val="32"/>
          <w:szCs w:val="32"/>
          <w14:textFill>
            <w14:solidFill>
              <w14:schemeClr w14:val="tx1"/>
            </w14:solidFill>
          </w14:textFill>
        </w:rPr>
        <w:t>。公共文化事业繁荣发展，</w:t>
      </w:r>
      <w:r>
        <w:rPr>
          <w:rFonts w:hint="eastAsia" w:cs="Times New Roman"/>
          <w:color w:val="000000" w:themeColor="text1"/>
          <w:sz w:val="32"/>
          <w:szCs w:val="32"/>
          <w:lang w:eastAsia="zh-CN"/>
          <w14:textFill>
            <w14:solidFill>
              <w14:schemeClr w14:val="tx1"/>
            </w14:solidFill>
          </w14:textFill>
        </w:rPr>
        <w:t>创作</w:t>
      </w:r>
      <w:r>
        <w:rPr>
          <w:rFonts w:hint="default" w:ascii="Times New Roman" w:hAnsi="Times New Roman" w:eastAsia="仿宋_GB2312" w:cs="Times New Roman"/>
          <w:color w:val="000000" w:themeColor="text1"/>
          <w:sz w:val="32"/>
          <w:szCs w:val="32"/>
          <w14:textFill>
            <w14:solidFill>
              <w14:schemeClr w14:val="tx1"/>
            </w14:solidFill>
          </w14:textFill>
        </w:rPr>
        <w:t>出《人间正道》《应承》等一批文艺精品，《毛乌素沙漠的女人们》荣获国家第十八届群星奖，发布“忠勇、创新、包容、共享”的神木城市精神和“凤仪神木”城市形象标识。</w:t>
      </w:r>
    </w:p>
    <w:p>
      <w:pPr>
        <w:pStyle w:val="10"/>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楷体_GB2312" w:cs="Times New Roman"/>
          <w:b/>
          <w:bCs/>
          <w:sz w:val="32"/>
          <w:szCs w:val="32"/>
          <w:lang w:val="en-US" w:eastAsia="zh-CN" w:bidi="ar-SA"/>
        </w:rPr>
        <w:t>生态文明建设开辟新境界。</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“两山”理念深入人心，</w:t>
      </w:r>
      <w:r>
        <w:rPr>
          <w:rFonts w:hint="default" w:ascii="Times New Roman" w:hAnsi="Times New Roman" w:eastAsia="仿宋_GB2312" w:cs="Times New Roman"/>
          <w:color w:val="000000" w:themeColor="text1"/>
          <w:sz w:val="32"/>
          <w:szCs w:val="32"/>
          <w:lang w:val="en-US" w:eastAsia="zh-CN" w:bidi="ar-SA"/>
          <w14:textFill>
            <w14:solidFill>
              <w14:schemeClr w14:val="tx1"/>
            </w14:solidFill>
          </w14:textFill>
        </w:rPr>
        <w:t>成立神木市委生态文明委员会，扎实推进国家级生态文明先行示范区建设。</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开展“五年植绿大行动”，新增各类营造林35万亩，林木保存面积达495万亩，林</w:t>
      </w:r>
      <w:r>
        <w:rPr>
          <w:rFonts w:hint="eastAsia" w:cs="Times New Roman"/>
          <w:color w:val="000000" w:themeColor="text1"/>
          <w:sz w:val="32"/>
          <w:szCs w:val="32"/>
          <w:highlight w:val="none"/>
          <w:lang w:val="en-US" w:eastAsia="zh-CN"/>
          <w14:textFill>
            <w14:solidFill>
              <w14:schemeClr w14:val="tx1"/>
            </w14:solidFill>
          </w14:textFill>
        </w:rPr>
        <w:t>木</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覆盖率达43.2%，成功创建省级森林城市。深入推进</w:t>
      </w:r>
      <w:r>
        <w:rPr>
          <w:rFonts w:hint="default" w:ascii="Times New Roman" w:hAnsi="Times New Roman" w:eastAsia="仿宋_GB2312" w:cs="Times New Roman"/>
          <w:color w:val="000000" w:themeColor="text1"/>
          <w:sz w:val="32"/>
          <w:szCs w:val="32"/>
          <w:lang w:val="en-US" w:eastAsia="zh-CN" w:bidi="ar-SA"/>
          <w14:textFill>
            <w14:solidFill>
              <w14:schemeClr w14:val="tx1"/>
            </w14:solidFill>
          </w14:textFill>
        </w:rPr>
        <w:t>“南治土、北治沙”</w:t>
      </w:r>
      <w:r>
        <w:rPr>
          <w:rFonts w:hint="default" w:ascii="Times New Roman" w:hAnsi="Times New Roman" w:eastAsia="仿宋_GB2312" w:cs="Times New Roman"/>
          <w:sz w:val="32"/>
          <w:szCs w:val="32"/>
          <w:lang w:val="en-US" w:eastAsia="zh-CN"/>
        </w:rPr>
        <w:t>，治理</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水土流失面积66.3万亩，新建淤地坝4座，淤地坝除险加固237座。红碱淖列入国家级自然保护区，水位面积持续保持在35平方</w:t>
      </w:r>
      <w:r>
        <w:rPr>
          <w:rFonts w:hint="eastAsia" w:cs="Times New Roman"/>
          <w:color w:val="000000" w:themeColor="text1"/>
          <w:sz w:val="32"/>
          <w:szCs w:val="32"/>
          <w:highlight w:val="none"/>
          <w:lang w:val="en-US" w:eastAsia="zh-CN"/>
          <w14:textFill>
            <w14:solidFill>
              <w14:schemeClr w14:val="tx1"/>
            </w14:solidFill>
          </w14:textFill>
        </w:rPr>
        <w:t>千米</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，垂直水位较“十二五”末上升2米，遗鸥数量稳定在3000巢以上。开展矿区生态修复治理，累计修复治理面积41.8万亩。全面推行河湖长制，扎实开展河湖“四乱”整治工作。</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rPr>
      </w:pPr>
      <w:r>
        <w:rPr>
          <w:rFonts w:hint="default" w:ascii="Times New Roman" w:hAnsi="Times New Roman" w:eastAsia="仿宋_GB2312" w:cs="Times New Roman"/>
          <w:color w:val="000000"/>
          <w:sz w:val="32"/>
          <w:szCs w:val="32"/>
        </w:rPr>
        <w:t>实践充分表明，“十三五”时期是我市承压奋进、爬坡过坎，综合实力得到大幅提升的五年；是大抓项目、大抓招商，推动追赶超越加快升级转型的五年；是坚持改革驱动、激发创新活力，积蓄发展新动能的五年；是深入践行“两山”理念、坚决打赢“四大保卫战”</w:t>
      </w:r>
      <w:r>
        <w:rPr>
          <w:rStyle w:val="37"/>
          <w:rFonts w:hint="default" w:ascii="Times New Roman" w:hAnsi="Times New Roman" w:eastAsia="仿宋_GB2312" w:cs="Times New Roman"/>
          <w:color w:val="000000"/>
          <w:sz w:val="32"/>
          <w:szCs w:val="32"/>
        </w:rPr>
        <w:footnoteReference w:id="2"/>
      </w:r>
      <w:r>
        <w:rPr>
          <w:rFonts w:hint="default" w:ascii="Times New Roman" w:hAnsi="Times New Roman" w:eastAsia="仿宋_GB2312" w:cs="Times New Roman"/>
          <w:color w:val="000000"/>
          <w:sz w:val="32"/>
          <w:szCs w:val="32"/>
        </w:rPr>
        <w:t>，生态环境质量明显改善的五年；是增进百姓福祉、扩大优质民生供给，不断增强人民群众获得感、幸福感、安全感的五年。</w:t>
      </w:r>
    </w:p>
    <w:tbl>
      <w:tblPr>
        <w:tblStyle w:val="24"/>
        <w:tblpPr w:leftFromText="180" w:rightFromText="180" w:vertAnchor="text" w:horzAnchor="page" w:tblpX="1576" w:tblpY="473"/>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358"/>
        <w:gridCol w:w="240"/>
        <w:gridCol w:w="678"/>
        <w:gridCol w:w="2646"/>
        <w:gridCol w:w="713"/>
        <w:gridCol w:w="675"/>
        <w:gridCol w:w="575"/>
        <w:gridCol w:w="725"/>
        <w:gridCol w:w="775"/>
        <w:gridCol w:w="710"/>
        <w:gridCol w:w="715"/>
        <w:gridCol w:w="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90" w:hRule="atLeast"/>
        </w:trPr>
        <w:tc>
          <w:tcPr>
            <w:tcW w:w="8810" w:type="dxa"/>
            <w:gridSpan w:val="11"/>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val="en-US" w:eastAsia="zh-CN" w:bidi="ar"/>
              </w:rPr>
            </w:pPr>
            <w:r>
              <w:rPr>
                <w:rFonts w:hint="eastAsia" w:ascii="黑体" w:hAnsi="黑体" w:eastAsia="黑体" w:cs="黑体"/>
                <w:b w:val="0"/>
                <w:bCs w:val="0"/>
                <w:color w:val="000000"/>
                <w:spacing w:val="0"/>
                <w:sz w:val="21"/>
                <w:szCs w:val="21"/>
                <w:highlight w:val="none"/>
                <w:lang w:val="en-US" w:eastAsia="zh-CN" w:bidi="ar"/>
              </w:rPr>
              <w:t xml:space="preserve">表1： </w:t>
            </w:r>
            <w:r>
              <w:rPr>
                <w:rFonts w:hint="eastAsia" w:ascii="黑体" w:hAnsi="黑体" w:eastAsia="黑体" w:cs="黑体"/>
                <w:b/>
                <w:bCs/>
                <w:color w:val="000000"/>
                <w:spacing w:val="0"/>
                <w:sz w:val="21"/>
                <w:szCs w:val="21"/>
                <w:highlight w:val="none"/>
                <w:lang w:val="en-US" w:eastAsia="zh-CN" w:bidi="ar"/>
              </w:rPr>
              <w:t xml:space="preserve">                   </w:t>
            </w:r>
            <w:r>
              <w:rPr>
                <w:rFonts w:hint="eastAsia" w:ascii="黑体" w:hAnsi="黑体" w:eastAsia="黑体" w:cs="黑体"/>
                <w:color w:val="000000"/>
                <w:spacing w:val="0"/>
                <w:sz w:val="21"/>
                <w:szCs w:val="21"/>
                <w:highlight w:val="none"/>
                <w:lang w:val="en-US" w:eastAsia="zh-CN" w:bidi="ar"/>
              </w:rPr>
              <w:t>“十三五”经济社会发展主要指标完成情况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57"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类</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别</w:t>
            </w:r>
          </w:p>
        </w:tc>
        <w:tc>
          <w:tcPr>
            <w:tcW w:w="240"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序</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号</w:t>
            </w:r>
          </w:p>
        </w:tc>
        <w:tc>
          <w:tcPr>
            <w:tcW w:w="3324" w:type="dxa"/>
            <w:gridSpan w:val="2"/>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指标名称</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2015年</w:t>
            </w:r>
          </w:p>
        </w:tc>
        <w:tc>
          <w:tcPr>
            <w:tcW w:w="1250"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2020年</w:t>
            </w:r>
          </w:p>
        </w:tc>
        <w:tc>
          <w:tcPr>
            <w:tcW w:w="1500"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eastAsia="zh-CN" w:bidi="ar"/>
              </w:rPr>
              <w:t>中期评估调整</w:t>
            </w:r>
          </w:p>
        </w:tc>
        <w:tc>
          <w:tcPr>
            <w:tcW w:w="1425"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2020年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63"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3324" w:type="dxa"/>
            <w:gridSpan w:val="2"/>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宋体" w:hAnsi="宋体" w:eastAsia="宋体" w:cs="宋体"/>
                <w:color w:val="000000"/>
                <w:spacing w:val="0"/>
                <w:sz w:val="18"/>
                <w:szCs w:val="18"/>
                <w:highlight w:val="none"/>
                <w:lang w:bidi="ar"/>
              </w:rPr>
            </w:pP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实际</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eastAsia="zh-CN" w:bidi="ar"/>
              </w:rPr>
              <w:t>目标</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eastAsia="zh-CN" w:bidi="ar"/>
              </w:rPr>
              <w:t>年均</w:t>
            </w:r>
          </w:p>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bidi="ar"/>
              </w:rPr>
              <w:t>增长</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目标</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eastAsia="zh-CN" w:bidi="ar"/>
              </w:rPr>
              <w:t>年均</w:t>
            </w:r>
            <w:r>
              <w:rPr>
                <w:rFonts w:hint="eastAsia" w:ascii="宋体" w:hAnsi="宋体" w:eastAsia="宋体" w:cs="宋体"/>
                <w:color w:val="000000"/>
                <w:spacing w:val="0"/>
                <w:sz w:val="18"/>
                <w:szCs w:val="18"/>
                <w:highlight w:val="none"/>
                <w:lang w:bidi="ar"/>
              </w:rPr>
              <w:t>增长</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eastAsia="zh-CN" w:bidi="ar"/>
              </w:rPr>
              <w:t>实际</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eastAsia="zh-CN" w:bidi="ar"/>
              </w:rPr>
              <w:t>年均</w:t>
            </w:r>
          </w:p>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eastAsia="zh-CN" w:bidi="ar"/>
              </w:rPr>
              <w:t>增长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58"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民生</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福祉</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城镇常住居民人均可支配收入（元）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28450</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41000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8</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38868</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6.4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8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农村常住居民人均可支配收入（元）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12046</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19000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9.5</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17235</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7.4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9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城镇登记失业率（%）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3.4</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val="en-US" w:eastAsia="zh-CN" w:bidi="ar"/>
              </w:rPr>
              <w:t>3.4</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83"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w:t>
            </w:r>
          </w:p>
        </w:tc>
        <w:tc>
          <w:tcPr>
            <w:tcW w:w="67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社会保险参保人数★</w:t>
            </w: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城镇职工养老保险人数（万人）</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4.8</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5.8</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val="en-US" w:eastAsia="zh-CN" w:bidi="ar"/>
              </w:rPr>
              <w:t>7.7</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3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67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城乡居民养老保险人数（万人）</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20.1</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20.5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val="en-US" w:eastAsia="zh-CN" w:bidi="ar"/>
              </w:rPr>
              <w:t>15.45</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81"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67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城镇基本医疗保险人数（万人）</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4.7</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4.8</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val="en-US" w:eastAsia="zh-CN" w:bidi="ar"/>
              </w:rPr>
              <w:t>6.7</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9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67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新型农村合作医疗参保率（%）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99.98</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99.99</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val="en-US" w:eastAsia="zh-CN" w:bidi="ar"/>
              </w:rPr>
              <w:t>100</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劳动年龄人口平均受教育年限（年）★</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13</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13.5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13.5</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68"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6</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农村安全饮水普及率（%）★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94.6</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bidi="ar"/>
              </w:rPr>
              <w:t>100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val="en-US" w:eastAsia="zh-CN" w:bidi="ar"/>
              </w:rPr>
              <w:t>100</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51"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7</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农村贫困人口脱贫（万人）★</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［0.79］</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bidi="ar"/>
              </w:rPr>
              <w:t>［0.</w:t>
            </w:r>
            <w:r>
              <w:rPr>
                <w:rFonts w:hint="eastAsia" w:ascii="宋体" w:hAnsi="宋体" w:eastAsia="宋体" w:cs="宋体"/>
                <w:color w:val="000000"/>
                <w:spacing w:val="0"/>
                <w:sz w:val="18"/>
                <w:szCs w:val="18"/>
                <w:highlight w:val="none"/>
                <w:lang w:val="en-US" w:eastAsia="zh-CN" w:bidi="ar"/>
              </w:rPr>
              <w:t>8</w:t>
            </w:r>
            <w:r>
              <w:rPr>
                <w:rFonts w:hint="eastAsia" w:ascii="宋体" w:hAnsi="宋体" w:eastAsia="宋体" w:cs="宋体"/>
                <w:color w:val="000000"/>
                <w:spacing w:val="0"/>
                <w:sz w:val="18"/>
                <w:szCs w:val="18"/>
                <w:highlight w:val="none"/>
                <w:lang w:bidi="ar"/>
              </w:rPr>
              <w:t>］</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2"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8</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城镇棚户区住房改造（万套）★</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0.1</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［0.5］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［0.</w:t>
            </w:r>
            <w:r>
              <w:rPr>
                <w:rFonts w:hint="eastAsia" w:ascii="宋体" w:hAnsi="宋体" w:eastAsia="宋体" w:cs="宋体"/>
                <w:color w:val="000000"/>
                <w:spacing w:val="0"/>
                <w:sz w:val="18"/>
                <w:szCs w:val="18"/>
                <w:highlight w:val="none"/>
                <w:lang w:val="en-US" w:eastAsia="zh-CN" w:bidi="ar"/>
              </w:rPr>
              <w:t>2</w:t>
            </w:r>
            <w:r>
              <w:rPr>
                <w:rFonts w:hint="eastAsia" w:ascii="宋体" w:hAnsi="宋体" w:eastAsia="宋体" w:cs="宋体"/>
                <w:color w:val="000000"/>
                <w:spacing w:val="0"/>
                <w:sz w:val="18"/>
                <w:szCs w:val="18"/>
                <w:highlight w:val="none"/>
                <w:lang w:bidi="ar"/>
              </w:rPr>
              <w:t>］</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77"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9</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总人口（万人）</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45.9</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52</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55.2</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21"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经济</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发展</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10</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地区生产总值（亿元）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769</w:t>
            </w:r>
            <w:r>
              <w:rPr>
                <w:rFonts w:hint="eastAsia" w:ascii="宋体" w:hAnsi="宋体" w:eastAsia="宋体" w:cs="宋体"/>
                <w:color w:val="000000"/>
                <w:spacing w:val="0"/>
                <w:sz w:val="18"/>
                <w:szCs w:val="18"/>
                <w:highlight w:val="none"/>
                <w:lang w:bidi="ar"/>
              </w:rPr>
              <w:t>.</w:t>
            </w:r>
            <w:r>
              <w:rPr>
                <w:rFonts w:hint="eastAsia" w:ascii="宋体" w:hAnsi="宋体" w:eastAsia="宋体" w:cs="宋体"/>
                <w:color w:val="000000"/>
                <w:spacing w:val="0"/>
                <w:sz w:val="18"/>
                <w:szCs w:val="18"/>
                <w:highlight w:val="none"/>
                <w:lang w:val="en-US" w:eastAsia="zh-CN" w:bidi="ar"/>
              </w:rPr>
              <w:t>53</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1200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7</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1600</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sz w:val="18"/>
                <w:szCs w:val="18"/>
                <w:lang w:val="en-US" w:eastAsia="zh-CN"/>
              </w:rPr>
            </w:pPr>
            <w:r>
              <w:rPr>
                <w:rFonts w:hint="eastAsia" w:ascii="宋体" w:hAnsi="宋体" w:eastAsia="宋体" w:cs="宋体"/>
                <w:color w:val="000000"/>
                <w:spacing w:val="0"/>
                <w:sz w:val="18"/>
                <w:szCs w:val="18"/>
                <w:highlight w:val="none"/>
                <w:lang w:val="en-US" w:eastAsia="zh-CN" w:bidi="ar"/>
              </w:rPr>
              <w:t>7.8</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1294</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11</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财政总收入（亿元）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160.6</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4.6</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350</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17</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301.49</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13.4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6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12</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地方财政一般预算收入（亿元）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58.5</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75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100</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91.6</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9.4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1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13</w:t>
            </w:r>
          </w:p>
        </w:tc>
        <w:tc>
          <w:tcPr>
            <w:tcW w:w="67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城镇化率（%）</w:t>
            </w: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常住人口城镇化率（%）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val="en-US" w:eastAsia="zh-CN" w:bidi="ar"/>
              </w:rPr>
              <w:t>69</w:t>
            </w:r>
            <w:r>
              <w:rPr>
                <w:rFonts w:hint="eastAsia" w:ascii="宋体" w:hAnsi="宋体" w:eastAsia="宋体" w:cs="宋体"/>
                <w:color w:val="000000"/>
                <w:spacing w:val="0"/>
                <w:sz w:val="18"/>
                <w:szCs w:val="18"/>
                <w:highlight w:val="none"/>
                <w:lang w:bidi="ar"/>
              </w:rPr>
              <w:t>.</w:t>
            </w:r>
            <w:r>
              <w:rPr>
                <w:rFonts w:hint="eastAsia" w:ascii="宋体" w:hAnsi="宋体" w:eastAsia="宋体" w:cs="宋体"/>
                <w:color w:val="000000"/>
                <w:spacing w:val="0"/>
                <w:sz w:val="18"/>
                <w:szCs w:val="18"/>
                <w:highlight w:val="none"/>
                <w:lang w:val="en-US" w:eastAsia="zh-CN" w:bidi="ar"/>
              </w:rPr>
              <w:t>2</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75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70.4</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8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67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户籍人口城镇化率（%）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42</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30</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2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14</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全社会固定资产投资（亿元）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［1381］</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［1500］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8</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r>
              <w:rPr>
                <w:rFonts w:hint="eastAsia" w:ascii="宋体" w:hAnsi="宋体" w:eastAsia="宋体" w:cs="宋体"/>
                <w:color w:val="000000"/>
                <w:spacing w:val="0"/>
                <w:sz w:val="18"/>
                <w:szCs w:val="18"/>
                <w:highlight w:val="none"/>
                <w:lang w:val="en-US" w:eastAsia="zh-CN" w:bidi="ar"/>
              </w:rPr>
              <w:t>2000</w:t>
            </w: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r>
              <w:rPr>
                <w:rFonts w:hint="eastAsia" w:ascii="宋体" w:hAnsi="宋体" w:eastAsia="宋体" w:cs="宋体"/>
                <w:color w:val="000000"/>
                <w:spacing w:val="0"/>
                <w:sz w:val="18"/>
                <w:szCs w:val="18"/>
                <w:highlight w:val="none"/>
                <w:lang w:val="en-US" w:eastAsia="zh-CN" w:bidi="ar"/>
              </w:rPr>
              <w:t>2126</w:t>
            </w:r>
            <w:r>
              <w:rPr>
                <w:rFonts w:hint="eastAsia" w:ascii="宋体" w:hAnsi="宋体" w:eastAsia="宋体" w:cs="宋体"/>
                <w:color w:val="000000"/>
                <w:spacing w:val="0"/>
                <w:sz w:val="18"/>
                <w:szCs w:val="18"/>
                <w:highlight w:val="none"/>
                <w:lang w:bidi="ar"/>
              </w:rPr>
              <w:t>］</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2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15</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社会消费品零售总额（亿元）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68</w:t>
            </w:r>
            <w:r>
              <w:rPr>
                <w:rFonts w:hint="eastAsia" w:ascii="宋体" w:hAnsi="宋体" w:eastAsia="宋体" w:cs="宋体"/>
                <w:color w:val="000000"/>
                <w:spacing w:val="0"/>
                <w:sz w:val="18"/>
                <w:szCs w:val="18"/>
                <w:highlight w:val="none"/>
                <w:lang w:bidi="ar"/>
              </w:rPr>
              <w:t>.</w:t>
            </w:r>
            <w:r>
              <w:rPr>
                <w:rFonts w:hint="eastAsia" w:ascii="宋体" w:hAnsi="宋体" w:eastAsia="宋体" w:cs="宋体"/>
                <w:color w:val="000000"/>
                <w:spacing w:val="0"/>
                <w:sz w:val="18"/>
                <w:szCs w:val="18"/>
                <w:highlight w:val="none"/>
                <w:lang w:val="en-US" w:eastAsia="zh-CN" w:bidi="ar"/>
              </w:rPr>
              <w:t>49</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60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6</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80</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94.11</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6.5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8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16</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互联网普及率（%）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44</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88</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88</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80"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创新</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驱动</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17</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科技进步贡献率（%）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40</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41</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52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18</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全社会研究与试验发展经费占GDP比重（%）</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0.05</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0.10</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463"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对外</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开放</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19</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进出口总额（</w:t>
            </w:r>
            <w:r>
              <w:rPr>
                <w:rFonts w:hint="eastAsia" w:ascii="宋体" w:hAnsi="宋体" w:eastAsia="宋体" w:cs="宋体"/>
                <w:color w:val="000000"/>
                <w:spacing w:val="0"/>
                <w:sz w:val="18"/>
                <w:szCs w:val="18"/>
                <w:highlight w:val="none"/>
                <w:lang w:eastAsia="zh-CN" w:bidi="ar"/>
              </w:rPr>
              <w:t>亿元</w:t>
            </w:r>
            <w:r>
              <w:rPr>
                <w:rFonts w:hint="eastAsia" w:ascii="宋体" w:hAnsi="宋体" w:eastAsia="宋体" w:cs="宋体"/>
                <w:color w:val="000000"/>
                <w:spacing w:val="0"/>
                <w:sz w:val="18"/>
                <w:szCs w:val="18"/>
                <w:highlight w:val="none"/>
                <w:lang w:bidi="ar"/>
              </w:rPr>
              <w:t>）</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0.25</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0.7</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3.8</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4.7</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79.8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413"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20</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招商引资实际到位资金（亿元）</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[482]</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[590]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10</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bidi="ar"/>
              </w:rPr>
              <w:t>[</w:t>
            </w:r>
            <w:r>
              <w:rPr>
                <w:rFonts w:hint="eastAsia" w:ascii="宋体" w:hAnsi="宋体" w:eastAsia="宋体" w:cs="宋体"/>
                <w:color w:val="000000"/>
                <w:spacing w:val="0"/>
                <w:sz w:val="18"/>
                <w:szCs w:val="18"/>
                <w:highlight w:val="none"/>
                <w:lang w:val="en-US" w:eastAsia="zh-CN" w:bidi="ar"/>
              </w:rPr>
              <w:t>818</w:t>
            </w:r>
            <w:r>
              <w:rPr>
                <w:rFonts w:hint="eastAsia" w:ascii="宋体" w:hAnsi="宋体" w:eastAsia="宋体" w:cs="宋体"/>
                <w:color w:val="000000"/>
                <w:spacing w:val="0"/>
                <w:sz w:val="18"/>
                <w:szCs w:val="18"/>
                <w:highlight w:val="none"/>
                <w:lang w:bidi="ar"/>
              </w:rPr>
              <w:t>]</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80"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转型</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升级</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21</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第三产业增加值占GDP比重（%）</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31</w:t>
            </w:r>
            <w:r>
              <w:rPr>
                <w:rFonts w:hint="eastAsia" w:ascii="宋体" w:hAnsi="宋体" w:eastAsia="宋体" w:cs="宋体"/>
                <w:color w:val="000000"/>
                <w:spacing w:val="0"/>
                <w:sz w:val="18"/>
                <w:szCs w:val="18"/>
                <w:highlight w:val="none"/>
                <w:lang w:bidi="ar"/>
              </w:rPr>
              <w:t>.6</w:t>
            </w:r>
            <w:r>
              <w:rPr>
                <w:rFonts w:hint="eastAsia" w:ascii="宋体" w:hAnsi="宋体" w:eastAsia="宋体" w:cs="宋体"/>
                <w:color w:val="000000"/>
                <w:spacing w:val="0"/>
                <w:sz w:val="18"/>
                <w:szCs w:val="18"/>
                <w:highlight w:val="none"/>
                <w:lang w:val="en-US" w:eastAsia="zh-CN" w:bidi="ar"/>
              </w:rPr>
              <w:t>9</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21.94</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1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22</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文化产业增加值占GDP比重（%）</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0.5</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2</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23</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战略性新兴产业增加值增速（%）</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10</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15</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24</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非公有制经济增加值占GDP比重（%）</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34</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31.7</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5"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生态</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环境</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25</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单位GDP能耗降低（%）★</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3.8</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［17］</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3.4</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1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26</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能源消费总量（万吨标准煤）★</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1302</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2000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1721</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1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27</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单位GDP二氧化碳排放量降低（%）★</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3.4</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［18］</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4.13</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28</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全社会用水量（亿立方米）</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1.4</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1.6</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1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29</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万元GDP用水量下降（%）★</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bidi="ar"/>
              </w:rPr>
              <w:t>［8］</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7.29</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80"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30</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林</w:t>
            </w:r>
            <w:r>
              <w:rPr>
                <w:rFonts w:hint="eastAsia" w:ascii="宋体" w:hAnsi="宋体" w:eastAsia="宋体" w:cs="宋体"/>
                <w:color w:val="000000"/>
                <w:spacing w:val="0"/>
                <w:sz w:val="18"/>
                <w:szCs w:val="18"/>
                <w:highlight w:val="none"/>
                <w:lang w:eastAsia="zh-CN" w:bidi="ar"/>
              </w:rPr>
              <w:t>木</w:t>
            </w:r>
            <w:r>
              <w:rPr>
                <w:rFonts w:hint="eastAsia" w:ascii="宋体" w:hAnsi="宋体" w:eastAsia="宋体" w:cs="宋体"/>
                <w:color w:val="000000"/>
                <w:spacing w:val="0"/>
                <w:sz w:val="18"/>
                <w:szCs w:val="18"/>
                <w:highlight w:val="none"/>
                <w:lang w:bidi="ar"/>
              </w:rPr>
              <w:t>覆盖率（%）★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40.2</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43.2</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43.3</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31</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空气质量优良天数比率（%）★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70</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≥75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r>
              <w:rPr>
                <w:rFonts w:hint="eastAsia" w:ascii="宋体" w:hAnsi="宋体" w:eastAsia="宋体" w:cs="宋体"/>
                <w:color w:val="000000"/>
                <w:spacing w:val="0"/>
                <w:sz w:val="18"/>
                <w:szCs w:val="18"/>
                <w:highlight w:val="none"/>
                <w:lang w:val="en-US" w:eastAsia="zh-CN" w:bidi="ar"/>
              </w:rPr>
              <w:t>82.2</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83</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34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32</w:t>
            </w:r>
          </w:p>
        </w:tc>
        <w:tc>
          <w:tcPr>
            <w:tcW w:w="67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地表水质量★</w:t>
            </w: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达到或好于Ⅲ类水体比例（%）</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&gt;85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bidi="ar"/>
              </w:rPr>
              <w:t>&gt;</w:t>
            </w:r>
            <w:r>
              <w:rPr>
                <w:rFonts w:hint="eastAsia" w:ascii="宋体" w:hAnsi="宋体" w:eastAsia="宋体" w:cs="宋体"/>
                <w:color w:val="000000"/>
                <w:spacing w:val="0"/>
                <w:sz w:val="18"/>
                <w:szCs w:val="18"/>
                <w:highlight w:val="none"/>
                <w:lang w:val="en-US" w:eastAsia="zh-CN" w:bidi="ar"/>
              </w:rPr>
              <w:t>75</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66.7</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8"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67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p>
        </w:tc>
        <w:tc>
          <w:tcPr>
            <w:tcW w:w="2646"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劣Ⅴ类水体比例（%）</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＜5</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yellow"/>
                <w:lang w:val="en-US" w:eastAsia="zh-CN" w:bidi="ar"/>
              </w:rPr>
            </w:pPr>
            <w:r>
              <w:rPr>
                <w:rFonts w:hint="eastAsia" w:ascii="宋体" w:hAnsi="宋体" w:eastAsia="宋体" w:cs="宋体"/>
                <w:color w:val="000000"/>
                <w:spacing w:val="0"/>
                <w:sz w:val="18"/>
                <w:szCs w:val="18"/>
                <w:highlight w:val="none"/>
                <w:lang w:val="en-US" w:eastAsia="zh-CN" w:bidi="ar"/>
              </w:rPr>
              <w:t>15</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72"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空间</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优化</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33</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国土开发强度（%）★</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4.46</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eastAsia="zh-CN"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yellow"/>
                <w:lang w:val="en-US" w:eastAsia="zh-CN" w:bidi="ar"/>
              </w:rPr>
            </w:pPr>
            <w:r>
              <w:rPr>
                <w:rFonts w:hint="eastAsia" w:ascii="宋体" w:hAnsi="宋体" w:eastAsia="宋体" w:cs="宋体"/>
                <w:color w:val="000000"/>
                <w:spacing w:val="0"/>
                <w:sz w:val="18"/>
                <w:szCs w:val="18"/>
                <w:highlight w:val="none"/>
                <w:lang w:val="en-US" w:eastAsia="zh-CN" w:bidi="ar"/>
              </w:rPr>
              <w:t>3.5</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gridAfter w:val="1"/>
          <w:wAfter w:w="9" w:type="dxa"/>
          <w:trHeight w:val="298"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34</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耕地保有量（万亩）★</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158.6</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158.6</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151</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170</w:t>
            </w:r>
          </w:p>
        </w:tc>
        <w:tc>
          <w:tcPr>
            <w:tcW w:w="71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98"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35</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基本农田保护面积（万亩）★</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118</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118</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118.04</w:t>
            </w:r>
          </w:p>
        </w:tc>
        <w:tc>
          <w:tcPr>
            <w:tcW w:w="7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95" w:hRule="atLeast"/>
        </w:trPr>
        <w:tc>
          <w:tcPr>
            <w:tcW w:w="358" w:type="dxa"/>
            <w:vMerge w:val="restart"/>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社会</w:t>
            </w:r>
            <w:r>
              <w:rPr>
                <w:rFonts w:hint="eastAsia" w:ascii="宋体" w:hAnsi="宋体" w:eastAsia="宋体" w:cs="宋体"/>
                <w:color w:val="000000"/>
                <w:spacing w:val="0"/>
                <w:sz w:val="18"/>
                <w:szCs w:val="18"/>
                <w:highlight w:val="none"/>
                <w:lang w:bidi="ar"/>
              </w:rPr>
              <w:br w:type="textWrapping"/>
            </w:r>
            <w:r>
              <w:rPr>
                <w:rFonts w:hint="eastAsia" w:ascii="宋体" w:hAnsi="宋体" w:eastAsia="宋体" w:cs="宋体"/>
                <w:color w:val="000000"/>
                <w:spacing w:val="0"/>
                <w:sz w:val="18"/>
                <w:szCs w:val="18"/>
                <w:highlight w:val="none"/>
                <w:lang w:bidi="ar"/>
              </w:rPr>
              <w:t>治理</w:t>
            </w: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36</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基层民主参选率（%）</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87</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≥92</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93</w:t>
            </w:r>
          </w:p>
        </w:tc>
        <w:tc>
          <w:tcPr>
            <w:tcW w:w="7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15"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37</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注册志愿者人数占居民人口比例（%）</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6.2</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11</w:t>
            </w:r>
          </w:p>
        </w:tc>
        <w:tc>
          <w:tcPr>
            <w:tcW w:w="7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43" w:hRule="atLeast"/>
        </w:trPr>
        <w:tc>
          <w:tcPr>
            <w:tcW w:w="358" w:type="dxa"/>
            <w:vMerge w:val="continue"/>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p>
        </w:tc>
        <w:tc>
          <w:tcPr>
            <w:tcW w:w="24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38</w:t>
            </w:r>
          </w:p>
        </w:tc>
        <w:tc>
          <w:tcPr>
            <w:tcW w:w="33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社会安全指数（%）</w:t>
            </w:r>
          </w:p>
        </w:tc>
        <w:tc>
          <w:tcPr>
            <w:tcW w:w="713"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95</w:t>
            </w:r>
          </w:p>
        </w:tc>
        <w:tc>
          <w:tcPr>
            <w:tcW w:w="6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100</w:t>
            </w:r>
          </w:p>
        </w:tc>
        <w:tc>
          <w:tcPr>
            <w:tcW w:w="5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2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75"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c>
          <w:tcPr>
            <w:tcW w:w="710" w:type="dxa"/>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宋体" w:hAnsi="宋体" w:eastAsia="宋体" w:cs="宋体"/>
                <w:color w:val="000000"/>
                <w:spacing w:val="0"/>
                <w:sz w:val="18"/>
                <w:szCs w:val="18"/>
                <w:highlight w:val="none"/>
                <w:lang w:val="en-US" w:eastAsia="zh-CN" w:bidi="ar"/>
              </w:rPr>
            </w:pPr>
            <w:r>
              <w:rPr>
                <w:rFonts w:hint="eastAsia" w:ascii="宋体" w:hAnsi="宋体" w:eastAsia="宋体" w:cs="宋体"/>
                <w:color w:val="000000"/>
                <w:spacing w:val="0"/>
                <w:sz w:val="18"/>
                <w:szCs w:val="18"/>
                <w:highlight w:val="none"/>
                <w:lang w:val="en-US" w:eastAsia="zh-CN" w:bidi="ar"/>
              </w:rPr>
              <w:t>96</w:t>
            </w:r>
          </w:p>
        </w:tc>
        <w:tc>
          <w:tcPr>
            <w:tcW w:w="724" w:type="dxa"/>
            <w:gridSpan w:val="2"/>
            <w:tcBorders>
              <w:tl2br w:val="nil"/>
              <w:tr2bl w:val="nil"/>
            </w:tcBorders>
            <w:shd w:val="clear" w:color="auto" w:fill="FFFFFF"/>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ascii="宋体" w:hAnsi="宋体" w:eastAsia="宋体" w:cs="宋体"/>
                <w:color w:val="000000"/>
                <w:spacing w:val="0"/>
                <w:sz w:val="18"/>
                <w:szCs w:val="18"/>
                <w:highlight w:val="none"/>
                <w:lang w:bidi="ar"/>
              </w:rPr>
            </w:pPr>
            <w:r>
              <w:rPr>
                <w:rFonts w:hint="eastAsia" w:ascii="宋体" w:hAnsi="宋体" w:eastAsia="宋体" w:cs="宋体"/>
                <w:color w:val="000000"/>
                <w:spacing w:val="0"/>
                <w:sz w:val="18"/>
                <w:szCs w:val="18"/>
                <w:highlight w:val="none"/>
                <w:lang w:bidi="ar"/>
              </w:rPr>
              <w:t>-</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3" w:name="_Toc19801"/>
      <w:r>
        <w:rPr>
          <w:rFonts w:hint="eastAsia" w:ascii="楷体_GB2312" w:hAnsi="楷体_GB2312" w:eastAsia="楷体_GB2312" w:cs="楷体_GB2312"/>
          <w:bCs/>
          <w:sz w:val="32"/>
          <w:szCs w:val="32"/>
        </w:rPr>
        <w:t>第二节 “十四五”发展环境</w:t>
      </w:r>
      <w:bookmarkEnd w:id="3"/>
    </w:p>
    <w:p>
      <w:pPr>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cs="仿宋_GB2312"/>
          <w:sz w:val="32"/>
          <w:szCs w:val="32"/>
          <w:lang w:val="en-US" w:eastAsia="zh-CN"/>
        </w:rPr>
      </w:pPr>
      <w:r>
        <w:rPr>
          <w:rFonts w:cs="Times New Roman"/>
          <w:color w:val="000000"/>
          <w:sz w:val="32"/>
          <w:szCs w:val="32"/>
        </w:rPr>
        <w:t>当今世界正经历百</w:t>
      </w:r>
      <w:r>
        <w:rPr>
          <w:rFonts w:hint="eastAsia" w:cs="Times New Roman"/>
          <w:color w:val="000000"/>
          <w:sz w:val="32"/>
          <w:szCs w:val="32"/>
          <w:lang w:val="en-US" w:eastAsia="zh-CN"/>
        </w:rPr>
        <w:t>年未有之大变局，新冠肺炎疫情影响广泛深远，碳达峰</w:t>
      </w:r>
      <w:r>
        <w:rPr>
          <w:rStyle w:val="37"/>
          <w:rFonts w:hint="eastAsia" w:cs="Times New Roman"/>
          <w:color w:val="000000"/>
          <w:sz w:val="32"/>
          <w:szCs w:val="32"/>
          <w:lang w:val="en-US" w:eastAsia="zh-CN"/>
        </w:rPr>
        <w:footnoteReference w:id="3"/>
      </w:r>
      <w:r>
        <w:rPr>
          <w:rFonts w:hint="eastAsia" w:cs="Times New Roman"/>
          <w:color w:val="000000"/>
          <w:sz w:val="32"/>
          <w:szCs w:val="32"/>
          <w:lang w:val="en-US" w:eastAsia="zh-CN"/>
        </w:rPr>
        <w:t>和碳中和</w:t>
      </w:r>
      <w:r>
        <w:rPr>
          <w:rStyle w:val="37"/>
          <w:rFonts w:hint="eastAsia" w:cs="Times New Roman"/>
          <w:color w:val="000000"/>
          <w:sz w:val="32"/>
          <w:szCs w:val="32"/>
          <w:lang w:val="en-US" w:eastAsia="zh-CN"/>
        </w:rPr>
        <w:footnoteReference w:id="4"/>
      </w:r>
      <w:r>
        <w:rPr>
          <w:rFonts w:hint="eastAsia" w:cs="Times New Roman"/>
          <w:color w:val="000000"/>
          <w:sz w:val="32"/>
          <w:szCs w:val="32"/>
          <w:lang w:val="en-US" w:eastAsia="zh-CN"/>
        </w:rPr>
        <w:t>加快石化能源替代步伐，神木正在进入升级转型的重要窗口期和历史机遇期，科学把握形势，是做好今后一个时期工作的重要前提。</w:t>
      </w:r>
      <w:r>
        <w:rPr>
          <w:rFonts w:hint="eastAsia" w:ascii="Times New Roman" w:hAnsi="Times New Roman" w:eastAsia="楷体_GB2312" w:cs="Times New Roman"/>
          <w:b/>
          <w:bCs/>
          <w:color w:val="000000"/>
          <w:sz w:val="32"/>
          <w:szCs w:val="32"/>
          <w:lang w:eastAsia="zh-CN"/>
        </w:rPr>
        <w:t>从全球看，</w:t>
      </w:r>
      <w:r>
        <w:rPr>
          <w:rFonts w:hint="eastAsia" w:ascii="仿宋_GB2312" w:hAnsi="仿宋_GB2312" w:eastAsia="仿宋_GB2312" w:cs="仿宋_GB2312"/>
          <w:sz w:val="32"/>
          <w:szCs w:val="32"/>
        </w:rPr>
        <w:t>世界经济仍处于金融危机后的深度调整期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国际政治经济形势不稳定性不确定性增加，</w:t>
      </w:r>
      <w:r>
        <w:rPr>
          <w:rFonts w:hint="eastAsia" w:ascii="仿宋_GB2312" w:hAnsi="仿宋_GB2312" w:eastAsia="仿宋_GB2312" w:cs="仿宋_GB2312"/>
          <w:sz w:val="32"/>
          <w:szCs w:val="32"/>
          <w:lang w:eastAsia="zh-CN"/>
        </w:rPr>
        <w:t>新一轮技术革命正在孕育突破，政治格</w:t>
      </w:r>
      <w:r>
        <w:rPr>
          <w:rFonts w:hint="eastAsia" w:ascii="仿宋_GB2312" w:hAnsi="仿宋_GB2312" w:cs="仿宋_GB2312"/>
          <w:sz w:val="32"/>
          <w:szCs w:val="32"/>
          <w:lang w:eastAsia="zh-CN"/>
        </w:rPr>
        <w:t>局加快重构。</w:t>
      </w:r>
      <w:r>
        <w:rPr>
          <w:rFonts w:hint="eastAsia" w:eastAsia="楷体_GB2312" w:cs="Times New Roman"/>
          <w:b/>
          <w:bCs/>
          <w:color w:val="000000"/>
          <w:sz w:val="32"/>
          <w:szCs w:val="32"/>
          <w:lang w:eastAsia="zh-CN"/>
        </w:rPr>
        <w:t>从全国看，</w:t>
      </w:r>
      <w:r>
        <w:rPr>
          <w:rFonts w:hint="eastAsia" w:ascii="仿宋_GB2312" w:hAnsi="仿宋_GB2312" w:eastAsia="仿宋_GB2312" w:cs="仿宋_GB2312"/>
          <w:sz w:val="32"/>
          <w:szCs w:val="32"/>
        </w:rPr>
        <w:t>我国</w:t>
      </w:r>
      <w:r>
        <w:rPr>
          <w:rFonts w:hint="eastAsia" w:ascii="仿宋_GB2312" w:hAnsi="仿宋_GB2312" w:cs="仿宋_GB2312"/>
          <w:sz w:val="32"/>
          <w:szCs w:val="32"/>
          <w:lang w:eastAsia="zh-CN"/>
        </w:rPr>
        <w:t>全面进入转变发展方式、优化经济结构、转换增长动力的高质量发展新阶段，国际形势倒逼我国实施进口替代战略，国际国内双循环体系加快构建</w:t>
      </w:r>
      <w:r>
        <w:rPr>
          <w:rFonts w:hint="eastAsia" w:ascii="仿宋_GB2312" w:hAnsi="仿宋_GB2312" w:eastAsia="仿宋_GB2312" w:cs="仿宋_GB2312"/>
          <w:sz w:val="32"/>
          <w:szCs w:val="32"/>
          <w:lang w:eastAsia="zh-CN"/>
        </w:rPr>
        <w:t>,发展重心加快向内、向西、向下转移。</w:t>
      </w:r>
      <w:r>
        <w:rPr>
          <w:rFonts w:hint="eastAsia" w:eastAsia="楷体_GB2312" w:cs="Times New Roman"/>
          <w:b/>
          <w:bCs/>
          <w:color w:val="000000"/>
          <w:sz w:val="32"/>
          <w:szCs w:val="32"/>
          <w:lang w:eastAsia="zh-CN"/>
        </w:rPr>
        <w:t>从陕西省看，</w:t>
      </w:r>
      <w:r>
        <w:rPr>
          <w:rFonts w:hint="eastAsia" w:ascii="仿宋_GB2312" w:hAnsi="仿宋_GB2312" w:eastAsia="仿宋_GB2312" w:cs="仿宋_GB2312"/>
          <w:sz w:val="32"/>
          <w:szCs w:val="32"/>
          <w:lang w:eastAsia="zh-CN"/>
        </w:rPr>
        <w:t>总体上处于新型工业化</w:t>
      </w:r>
      <w:r>
        <w:rPr>
          <w:rFonts w:hint="eastAsia" w:ascii="仿宋_GB2312" w:hAnsi="仿宋_GB2312" w:cs="仿宋_GB2312"/>
          <w:sz w:val="32"/>
          <w:szCs w:val="32"/>
          <w:lang w:eastAsia="zh-CN"/>
        </w:rPr>
        <w:t>和</w:t>
      </w:r>
      <w:r>
        <w:rPr>
          <w:rFonts w:hint="eastAsia" w:ascii="仿宋_GB2312" w:hAnsi="仿宋_GB2312" w:eastAsia="仿宋_GB2312" w:cs="仿宋_GB2312"/>
          <w:sz w:val="32"/>
          <w:szCs w:val="32"/>
          <w:lang w:eastAsia="zh-CN"/>
        </w:rPr>
        <w:t>城镇化向中后期转变、中高速发展向高质量发展转变的重要阶段。贯彻</w:t>
      </w:r>
      <w:r>
        <w:rPr>
          <w:rFonts w:hint="eastAsia" w:ascii="仿宋_GB2312" w:hAnsi="仿宋_GB2312" w:cs="仿宋_GB2312"/>
          <w:sz w:val="32"/>
          <w:szCs w:val="32"/>
          <w:lang w:val="en-US" w:eastAsia="zh-CN"/>
        </w:rPr>
        <w:t>习近平</w:t>
      </w:r>
      <w:r>
        <w:rPr>
          <w:rFonts w:hint="eastAsia" w:ascii="仿宋_GB2312" w:hAnsi="仿宋_GB2312" w:eastAsia="仿宋_GB2312" w:cs="仿宋_GB2312"/>
          <w:sz w:val="32"/>
          <w:szCs w:val="32"/>
          <w:lang w:eastAsia="zh-CN"/>
        </w:rPr>
        <w:t>总书记来陕</w:t>
      </w:r>
      <w:r>
        <w:rPr>
          <w:rFonts w:hint="eastAsia" w:ascii="仿宋_GB2312" w:hAnsi="仿宋_GB2312" w:cs="仿宋_GB2312"/>
          <w:sz w:val="32"/>
          <w:szCs w:val="32"/>
          <w:lang w:val="en-US" w:eastAsia="zh-CN"/>
        </w:rPr>
        <w:t>考察</w:t>
      </w:r>
      <w:r>
        <w:rPr>
          <w:rFonts w:hint="eastAsia" w:ascii="仿宋_GB2312" w:hAnsi="仿宋_GB2312" w:eastAsia="仿宋_GB2312" w:cs="仿宋_GB2312"/>
          <w:sz w:val="32"/>
          <w:szCs w:val="32"/>
          <w:lang w:eastAsia="zh-CN"/>
        </w:rPr>
        <w:t>重要讲话精神,</w:t>
      </w:r>
      <w:r>
        <w:rPr>
          <w:rFonts w:hint="eastAsia" w:ascii="仿宋_GB2312" w:hAnsi="仿宋_GB2312" w:cs="仿宋_GB2312"/>
          <w:sz w:val="32"/>
          <w:szCs w:val="32"/>
          <w:lang w:val="en-US" w:eastAsia="zh-CN"/>
        </w:rPr>
        <w:t>“五个扎实”</w:t>
      </w:r>
      <w:r>
        <w:rPr>
          <w:rStyle w:val="37"/>
          <w:rFonts w:hint="eastAsia" w:ascii="仿宋_GB2312" w:hAnsi="仿宋_GB2312" w:cs="仿宋_GB2312"/>
          <w:sz w:val="32"/>
          <w:szCs w:val="32"/>
          <w:lang w:val="en-US" w:eastAsia="zh-CN"/>
        </w:rPr>
        <w:footnoteReference w:id="5"/>
      </w:r>
      <w:r>
        <w:rPr>
          <w:rFonts w:hint="eastAsia" w:ascii="仿宋_GB2312" w:hAnsi="仿宋_GB2312" w:eastAsia="仿宋_GB2312" w:cs="仿宋_GB2312"/>
          <w:sz w:val="32"/>
          <w:szCs w:val="32"/>
          <w:lang w:eastAsia="zh-CN"/>
        </w:rPr>
        <w:t>“五项要求”</w:t>
      </w:r>
      <w:r>
        <w:rPr>
          <w:rStyle w:val="37"/>
          <w:rFonts w:hint="eastAsia" w:ascii="仿宋_GB2312" w:hAnsi="仿宋_GB2312" w:eastAsia="仿宋_GB2312" w:cs="仿宋_GB2312"/>
          <w:sz w:val="32"/>
          <w:szCs w:val="32"/>
          <w:lang w:eastAsia="zh-CN"/>
        </w:rPr>
        <w:footnoteReference w:id="6"/>
      </w:r>
      <w:r>
        <w:rPr>
          <w:rFonts w:hint="eastAsia" w:ascii="仿宋_GB2312" w:hAnsi="仿宋_GB2312" w:cs="仿宋_GB2312"/>
          <w:sz w:val="32"/>
          <w:szCs w:val="32"/>
          <w:lang w:val="en-US" w:eastAsia="zh-CN"/>
        </w:rPr>
        <w:t>和</w:t>
      </w:r>
      <w:r>
        <w:rPr>
          <w:rFonts w:hint="eastAsia" w:ascii="仿宋_GB2312" w:hAnsi="仿宋_GB2312" w:eastAsia="仿宋_GB2312" w:cs="仿宋_GB2312"/>
          <w:sz w:val="32"/>
          <w:szCs w:val="32"/>
          <w:lang w:eastAsia="zh-CN"/>
        </w:rPr>
        <w:t>“奋力谱写陕西新时代追赶超越新篇章”成为党中央赋予陕西的新使命,为陕西发展指明了新方向</w:t>
      </w: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提供了总遵循，必须融汇贯通、一体落实</w:t>
      </w:r>
      <w:r>
        <w:rPr>
          <w:rFonts w:hint="eastAsia" w:ascii="仿宋_GB2312" w:hAnsi="仿宋_GB2312" w:eastAsia="仿宋_GB2312" w:cs="仿宋_GB2312"/>
          <w:sz w:val="32"/>
          <w:szCs w:val="32"/>
          <w:lang w:eastAsia="zh-CN"/>
        </w:rPr>
        <w:t>。</w:t>
      </w:r>
      <w:r>
        <w:rPr>
          <w:rFonts w:hint="eastAsia" w:eastAsia="楷体_GB2312" w:cs="Times New Roman"/>
          <w:b/>
          <w:bCs/>
          <w:color w:val="000000"/>
          <w:sz w:val="32"/>
          <w:szCs w:val="32"/>
          <w:lang w:eastAsia="zh-CN"/>
        </w:rPr>
        <w:t>从榆林</w:t>
      </w:r>
      <w:r>
        <w:rPr>
          <w:rFonts w:hint="eastAsia" w:eastAsia="楷体_GB2312" w:cs="Times New Roman"/>
          <w:b/>
          <w:bCs/>
          <w:color w:val="000000"/>
          <w:sz w:val="32"/>
          <w:szCs w:val="32"/>
          <w:lang w:val="en-US" w:eastAsia="zh-CN"/>
        </w:rPr>
        <w:t>和</w:t>
      </w:r>
      <w:r>
        <w:rPr>
          <w:rFonts w:hint="eastAsia" w:eastAsia="楷体_GB2312" w:cs="Times New Roman"/>
          <w:b/>
          <w:bCs/>
          <w:color w:val="000000"/>
          <w:sz w:val="32"/>
          <w:szCs w:val="32"/>
          <w:lang w:eastAsia="zh-CN"/>
        </w:rPr>
        <w:t>神木看，</w:t>
      </w:r>
      <w:r>
        <w:rPr>
          <w:rFonts w:hint="eastAsia" w:ascii="仿宋_GB2312" w:hAnsi="仿宋_GB2312" w:eastAsia="仿宋_GB2312" w:cs="仿宋_GB2312"/>
          <w:sz w:val="32"/>
          <w:szCs w:val="32"/>
          <w:lang w:eastAsia="zh-CN"/>
        </w:rPr>
        <w:t>资源</w:t>
      </w:r>
      <w:r>
        <w:rPr>
          <w:rFonts w:hint="eastAsia" w:ascii="仿宋_GB2312" w:hAnsi="仿宋_GB2312" w:cs="仿宋_GB2312"/>
          <w:sz w:val="32"/>
          <w:szCs w:val="32"/>
          <w:lang w:eastAsia="zh-CN"/>
        </w:rPr>
        <w:t>开发强度将在</w:t>
      </w:r>
      <w:r>
        <w:rPr>
          <w:rFonts w:hint="eastAsia" w:ascii="仿宋_GB2312" w:hAnsi="仿宋_GB2312" w:cs="仿宋_GB2312"/>
          <w:sz w:val="32"/>
          <w:szCs w:val="32"/>
          <w:lang w:val="en-US" w:eastAsia="zh-CN"/>
        </w:rPr>
        <w:t>10年左右达到峰值，资源型城市主动升级转型进入关键窗口期，国家实施黄河流域生态保护和高质量发展、新一轮西部大开发、构建“双循环”新发展格局</w:t>
      </w:r>
      <w:r>
        <w:rPr>
          <w:rStyle w:val="37"/>
          <w:rFonts w:hint="eastAsia" w:ascii="仿宋_GB2312" w:hAnsi="仿宋_GB2312" w:cs="仿宋_GB2312"/>
          <w:sz w:val="32"/>
          <w:szCs w:val="32"/>
          <w:lang w:val="en-US" w:eastAsia="zh-CN"/>
        </w:rPr>
        <w:footnoteReference w:id="7"/>
      </w:r>
      <w:r>
        <w:rPr>
          <w:rFonts w:hint="eastAsia" w:ascii="仿宋_GB2312" w:hAnsi="仿宋_GB2312" w:cs="仿宋_GB2312"/>
          <w:sz w:val="32"/>
          <w:szCs w:val="32"/>
          <w:lang w:val="en-US" w:eastAsia="zh-CN"/>
        </w:rPr>
        <w:t>等，给榆林、神木升级转型高质量发展带来重大历史机遇，省政府</w:t>
      </w:r>
      <w:r>
        <w:rPr>
          <w:rFonts w:hint="eastAsia" w:ascii="仿宋_GB2312" w:hAnsi="仿宋_GB2312" w:eastAsia="仿宋_GB2312" w:cs="仿宋_GB2312"/>
          <w:sz w:val="32"/>
          <w:szCs w:val="32"/>
          <w:lang w:eastAsia="zh-CN"/>
        </w:rPr>
        <w:t>成立</w:t>
      </w:r>
      <w:r>
        <w:rPr>
          <w:rFonts w:hint="eastAsia" w:ascii="仿宋_GB2312" w:hAnsi="仿宋_GB2312" w:cs="仿宋_GB2312"/>
          <w:sz w:val="32"/>
          <w:szCs w:val="32"/>
          <w:lang w:val="en-US" w:eastAsia="zh-CN"/>
        </w:rPr>
        <w:t>由</w:t>
      </w:r>
      <w:r>
        <w:rPr>
          <w:rFonts w:hint="eastAsia" w:ascii="仿宋_GB2312" w:hAnsi="仿宋_GB2312" w:eastAsia="仿宋_GB2312" w:cs="仿宋_GB2312"/>
          <w:sz w:val="32"/>
          <w:szCs w:val="32"/>
          <w:lang w:eastAsia="zh-CN"/>
        </w:rPr>
        <w:t>省长任组长的榆林重大能源化工项目推进专班，</w:t>
      </w:r>
      <w:r>
        <w:rPr>
          <w:rFonts w:hint="eastAsia" w:ascii="仿宋_GB2312" w:hAnsi="仿宋_GB2312" w:cs="仿宋_GB2312"/>
          <w:sz w:val="32"/>
          <w:szCs w:val="32"/>
          <w:lang w:val="en-US" w:eastAsia="zh-CN"/>
        </w:rPr>
        <w:t>榆林和神木在全省推动高质量发展迈出更大步伐新征程中</w:t>
      </w:r>
      <w:r>
        <w:rPr>
          <w:rFonts w:hint="eastAsia" w:ascii="仿宋_GB2312" w:hAnsi="仿宋_GB2312" w:eastAsia="仿宋_GB2312" w:cs="仿宋_GB2312"/>
          <w:sz w:val="32"/>
          <w:szCs w:val="32"/>
          <w:lang w:eastAsia="zh-CN"/>
        </w:rPr>
        <w:t>支撑</w:t>
      </w:r>
      <w:r>
        <w:rPr>
          <w:rFonts w:hint="eastAsia" w:ascii="仿宋_GB2312" w:hAnsi="仿宋_GB2312" w:cs="仿宋_GB2312"/>
          <w:sz w:val="32"/>
          <w:szCs w:val="32"/>
          <w:lang w:val="en-US" w:eastAsia="zh-CN"/>
        </w:rPr>
        <w:t>作用更加凸显、稳定器地位持续提升。</w:t>
      </w:r>
    </w:p>
    <w:p>
      <w:pPr>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“十四五”时期是神木由工业化中期向后期梯次发展的关键期和资源型城市主动转型的窗口期，面临的挑战比改革开放以来任何一个时期都更加严峻。</w:t>
      </w:r>
      <w:r>
        <w:rPr>
          <w:rFonts w:hint="eastAsia" w:cs="Times New Roman"/>
          <w:b/>
          <w:bCs/>
          <w:color w:val="000000"/>
          <w:sz w:val="32"/>
          <w:szCs w:val="32"/>
          <w:lang w:eastAsia="zh-CN"/>
        </w:rPr>
        <w:t>一是</w:t>
      </w:r>
      <w:r>
        <w:rPr>
          <w:rFonts w:hint="eastAsia" w:ascii="仿宋_GB2312" w:hAnsi="仿宋_GB2312" w:eastAsia="仿宋_GB2312" w:cs="仿宋_GB2312"/>
          <w:b/>
          <w:bCs/>
          <w:sz w:val="32"/>
          <w:szCs w:val="32"/>
          <w:lang w:val="en-US" w:eastAsia="zh-CN"/>
        </w:rPr>
        <w:t>碳中和</w:t>
      </w:r>
      <w:r>
        <w:rPr>
          <w:rFonts w:hint="eastAsia" w:ascii="仿宋_GB2312" w:hAnsi="仿宋_GB2312" w:cs="仿宋_GB2312"/>
          <w:b/>
          <w:bCs/>
          <w:sz w:val="32"/>
          <w:szCs w:val="32"/>
          <w:lang w:val="en-US" w:eastAsia="zh-CN"/>
        </w:rPr>
        <w:t>背景下能源化工项目建设将是</w:t>
      </w:r>
      <w:r>
        <w:rPr>
          <w:rFonts w:hint="eastAsia" w:ascii="仿宋_GB2312" w:hAnsi="仿宋_GB2312" w:eastAsia="仿宋_GB2312" w:cs="仿宋_GB2312"/>
          <w:b/>
          <w:bCs/>
          <w:sz w:val="32"/>
          <w:szCs w:val="32"/>
          <w:lang w:val="en-US" w:eastAsia="zh-CN"/>
        </w:rPr>
        <w:t>最大的挑战</w:t>
      </w:r>
      <w:r>
        <w:rPr>
          <w:rFonts w:hint="eastAsia" w:ascii="仿宋_GB2312" w:hAnsi="仿宋_GB2312" w:cs="仿宋_GB2312"/>
          <w:b/>
          <w:bCs/>
          <w:sz w:val="32"/>
          <w:szCs w:val="32"/>
          <w:lang w:val="en-US" w:eastAsia="zh-CN"/>
        </w:rPr>
        <w:t>。</w:t>
      </w:r>
      <w:r>
        <w:rPr>
          <w:rFonts w:hint="eastAsia" w:ascii="仿宋_GB2312" w:hAnsi="仿宋_GB2312" w:cs="仿宋_GB2312"/>
          <w:sz w:val="32"/>
          <w:szCs w:val="32"/>
          <w:lang w:val="en-US" w:eastAsia="zh-CN"/>
        </w:rPr>
        <w:t>我国确定在2030年前二氧化碳排放达到峰值，2060年前实现碳中和，据预测到2030年全国能耗排放增量锁定在1亿吨左右，而我市“十四五”谋划的重大项目绝大多数仍以煤化工、煤电等项目为主，传统的高耗能、高排放项目升级改造步伐缓慢，这个目标导向给资源型城市转型升级带来前所未有的挑战。</w:t>
      </w:r>
      <w:r>
        <w:rPr>
          <w:rFonts w:hint="eastAsia" w:ascii="仿宋_GB2312" w:hAnsi="仿宋_GB2312" w:cs="仿宋_GB2312"/>
          <w:b/>
          <w:bCs/>
          <w:sz w:val="32"/>
          <w:szCs w:val="32"/>
          <w:lang w:val="en-US" w:eastAsia="zh-CN"/>
        </w:rPr>
        <w:t>二是</w:t>
      </w:r>
      <w:r>
        <w:rPr>
          <w:rFonts w:hint="eastAsia" w:ascii="仿宋_GB2312" w:hAnsi="仿宋_GB2312" w:eastAsia="仿宋_GB2312" w:cs="仿宋_GB2312"/>
          <w:b/>
          <w:bCs/>
          <w:sz w:val="32"/>
          <w:szCs w:val="32"/>
          <w:lang w:val="en-US" w:eastAsia="zh-CN"/>
        </w:rPr>
        <w:t>采煤沉陷区</w:t>
      </w:r>
      <w:r>
        <w:rPr>
          <w:rFonts w:hint="eastAsia" w:ascii="仿宋_GB2312" w:hAnsi="仿宋_GB2312" w:cs="仿宋_GB2312"/>
          <w:b/>
          <w:bCs/>
          <w:sz w:val="32"/>
          <w:szCs w:val="32"/>
          <w:lang w:val="en-US" w:eastAsia="zh-CN"/>
        </w:rPr>
        <w:t>和煤层火烧区持续快速扩张是最大的风险。</w:t>
      </w:r>
      <w:r>
        <w:rPr>
          <w:rFonts w:hint="eastAsia" w:ascii="Times New Roman" w:hAnsi="Times New Roman" w:eastAsia="仿宋_GB2312" w:cs="Times New Roman"/>
          <w:sz w:val="32"/>
          <w:szCs w:val="32"/>
        </w:rPr>
        <w:t>现有</w:t>
      </w:r>
      <w:r>
        <w:rPr>
          <w:rFonts w:ascii="Times New Roman" w:hAnsi="Times New Roman" w:eastAsia="仿宋_GB2312" w:cs="Times New Roman"/>
          <w:sz w:val="32"/>
          <w:szCs w:val="32"/>
        </w:rPr>
        <w:t>采空塌陷区</w:t>
      </w:r>
      <w:r>
        <w:rPr>
          <w:rFonts w:hint="eastAsia" w:ascii="Times New Roman" w:hAnsi="Times New Roman" w:eastAsia="仿宋_GB2312" w:cs="Times New Roman"/>
          <w:sz w:val="32"/>
          <w:szCs w:val="32"/>
        </w:rPr>
        <w:t>和火烧隐患区</w:t>
      </w:r>
      <w:r>
        <w:rPr>
          <w:rFonts w:ascii="Times New Roman" w:hAnsi="Times New Roman" w:eastAsia="仿宋_GB2312" w:cs="Times New Roman"/>
          <w:sz w:val="32"/>
          <w:szCs w:val="32"/>
        </w:rPr>
        <w:t>6</w:t>
      </w:r>
      <w:r>
        <w:rPr>
          <w:rFonts w:hint="eastAsia" w:cs="Times New Roman"/>
          <w:sz w:val="32"/>
          <w:szCs w:val="32"/>
          <w:lang w:val="en-US" w:eastAsia="zh-CN"/>
        </w:rPr>
        <w:t>77</w:t>
      </w:r>
      <w:r>
        <w:rPr>
          <w:rFonts w:ascii="Times New Roman" w:hAnsi="Times New Roman" w:eastAsia="仿宋_GB2312" w:cs="Times New Roman"/>
          <w:sz w:val="32"/>
          <w:szCs w:val="32"/>
        </w:rPr>
        <w:t>平方公里，并仍以每年60平方公里</w:t>
      </w:r>
      <w:r>
        <w:rPr>
          <w:rFonts w:hint="eastAsia" w:cs="Times New Roman"/>
          <w:sz w:val="32"/>
          <w:szCs w:val="32"/>
          <w:lang w:val="en-US" w:eastAsia="zh-CN"/>
        </w:rPr>
        <w:t>以上</w:t>
      </w:r>
      <w:r>
        <w:rPr>
          <w:rFonts w:hint="eastAsia" w:ascii="Times New Roman" w:hAnsi="Times New Roman" w:eastAsia="仿宋_GB2312" w:cs="Times New Roman"/>
          <w:sz w:val="32"/>
          <w:szCs w:val="32"/>
        </w:rPr>
        <w:t>的速度</w:t>
      </w:r>
      <w:r>
        <w:rPr>
          <w:rFonts w:ascii="Times New Roman" w:hAnsi="Times New Roman" w:eastAsia="仿宋_GB2312" w:cs="Times New Roman"/>
          <w:sz w:val="32"/>
          <w:szCs w:val="32"/>
        </w:rPr>
        <w:t>增加，</w:t>
      </w:r>
      <w:r>
        <w:rPr>
          <w:rFonts w:hint="eastAsia" w:ascii="Times New Roman" w:hAnsi="Times New Roman" w:cs="Times New Roman"/>
          <w:sz w:val="32"/>
          <w:szCs w:val="32"/>
          <w:lang w:eastAsia="zh-CN"/>
        </w:rPr>
        <w:t>随着</w:t>
      </w:r>
      <w:r>
        <w:rPr>
          <w:rFonts w:hint="eastAsia" w:cs="Times New Roman"/>
          <w:sz w:val="32"/>
          <w:szCs w:val="32"/>
          <w:lang w:val="en-US" w:eastAsia="zh-CN"/>
        </w:rPr>
        <w:t>煤炭开采总量持续扩张</w:t>
      </w:r>
      <w:r>
        <w:rPr>
          <w:rFonts w:hint="eastAsia" w:ascii="Times New Roman" w:hAnsi="Times New Roman" w:cs="Times New Roman"/>
          <w:sz w:val="32"/>
          <w:szCs w:val="32"/>
          <w:lang w:eastAsia="zh-CN"/>
        </w:rPr>
        <w:t>，</w:t>
      </w:r>
      <w:r>
        <w:rPr>
          <w:rFonts w:hint="eastAsia" w:ascii="Times New Roman" w:hAnsi="Times New Roman" w:cs="Times New Roman"/>
          <w:sz w:val="32"/>
          <w:szCs w:val="32"/>
          <w:lang w:val="en-US" w:eastAsia="zh-CN"/>
        </w:rPr>
        <w:t>采煤沉陷区和煤层火烧区</w:t>
      </w:r>
      <w:r>
        <w:rPr>
          <w:rFonts w:hint="eastAsia" w:cs="Times New Roman"/>
          <w:sz w:val="32"/>
          <w:szCs w:val="32"/>
          <w:lang w:val="en-US" w:eastAsia="zh-CN"/>
        </w:rPr>
        <w:t>的面积</w:t>
      </w:r>
      <w:r>
        <w:rPr>
          <w:rFonts w:hint="eastAsia" w:ascii="Times New Roman" w:hAnsi="Times New Roman" w:cs="Times New Roman"/>
          <w:sz w:val="32"/>
          <w:szCs w:val="32"/>
          <w:lang w:val="en-US" w:eastAsia="zh-CN"/>
        </w:rPr>
        <w:t>将进一步扩</w:t>
      </w:r>
      <w:r>
        <w:rPr>
          <w:rFonts w:hint="eastAsia" w:cs="Times New Roman"/>
          <w:sz w:val="32"/>
          <w:szCs w:val="32"/>
          <w:lang w:val="en-US" w:eastAsia="zh-CN"/>
        </w:rPr>
        <w:t>大</w:t>
      </w:r>
      <w:r>
        <w:rPr>
          <w:rFonts w:hint="eastAsia" w:ascii="Times New Roman" w:hAnsi="Times New Roman" w:cs="Times New Roman"/>
          <w:sz w:val="32"/>
          <w:szCs w:val="32"/>
          <w:lang w:val="en-US" w:eastAsia="zh-CN"/>
        </w:rPr>
        <w:t>，</w:t>
      </w:r>
      <w:r>
        <w:rPr>
          <w:rFonts w:hint="eastAsia" w:cs="Times New Roman"/>
          <w:sz w:val="32"/>
          <w:szCs w:val="32"/>
          <w:lang w:val="en-US" w:eastAsia="zh-CN"/>
        </w:rPr>
        <w:t>新的发展空间、新的项目落地进一步受限，脆弱的生态环境恶化和毛乌素沙地二次沙化的风险加大，对经济社会发展的威胁进一步加剧。</w:t>
      </w:r>
      <w:r>
        <w:rPr>
          <w:rFonts w:hint="eastAsia" w:ascii="仿宋_GB2312" w:hAnsi="仿宋_GB2312" w:cs="仿宋_GB2312"/>
          <w:b/>
          <w:bCs/>
          <w:sz w:val="32"/>
          <w:szCs w:val="32"/>
          <w:lang w:val="en-US" w:eastAsia="zh-CN"/>
        </w:rPr>
        <w:t>三是科技创新和人才资源不足是最大的瓶颈。</w:t>
      </w:r>
      <w:r>
        <w:rPr>
          <w:rFonts w:cs="Times New Roman"/>
          <w:color w:val="000000"/>
          <w:sz w:val="32"/>
          <w:szCs w:val="32"/>
        </w:rPr>
        <w:t>全市R&amp;D</w:t>
      </w:r>
      <w:r>
        <w:rPr>
          <w:rFonts w:hint="eastAsia" w:cs="Times New Roman"/>
          <w:color w:val="000000"/>
          <w:sz w:val="32"/>
          <w:szCs w:val="32"/>
        </w:rPr>
        <w:t>支出</w:t>
      </w:r>
      <w:r>
        <w:rPr>
          <w:rFonts w:cs="Times New Roman"/>
          <w:color w:val="000000"/>
          <w:sz w:val="32"/>
          <w:szCs w:val="32"/>
        </w:rPr>
        <w:t>占GDP比重仅为0.</w:t>
      </w:r>
      <w:r>
        <w:rPr>
          <w:rFonts w:hint="eastAsia" w:cs="Times New Roman"/>
          <w:color w:val="000000"/>
          <w:sz w:val="32"/>
          <w:szCs w:val="32"/>
          <w:lang w:val="en-US" w:eastAsia="zh-CN"/>
        </w:rPr>
        <w:t>1</w:t>
      </w:r>
      <w:r>
        <w:rPr>
          <w:rFonts w:cs="Times New Roman"/>
          <w:color w:val="000000"/>
          <w:sz w:val="32"/>
          <w:szCs w:val="32"/>
        </w:rPr>
        <w:t>%，</w:t>
      </w:r>
      <w:r>
        <w:rPr>
          <w:rFonts w:hint="eastAsia" w:cs="Times New Roman"/>
          <w:color w:val="000000"/>
          <w:sz w:val="32"/>
          <w:szCs w:val="32"/>
          <w:lang w:eastAsia="zh-CN"/>
        </w:rPr>
        <w:t>远低于全省</w:t>
      </w:r>
      <w:r>
        <w:rPr>
          <w:rFonts w:hint="eastAsia" w:cs="Times New Roman"/>
          <w:color w:val="000000"/>
          <w:sz w:val="32"/>
          <w:szCs w:val="32"/>
          <w:lang w:val="en-US" w:eastAsia="zh-CN"/>
        </w:rPr>
        <w:t>2.27%、全国2.23%的平均水平，处于同类资源型城市最低水平，</w:t>
      </w:r>
      <w:r>
        <w:rPr>
          <w:rFonts w:cs="Times New Roman"/>
          <w:color w:val="000000"/>
          <w:sz w:val="32"/>
          <w:szCs w:val="32"/>
        </w:rPr>
        <w:t>煤炭资源就地转化率不足30%，规上企业</w:t>
      </w:r>
      <w:r>
        <w:rPr>
          <w:rFonts w:hint="eastAsia" w:cs="Times New Roman"/>
          <w:color w:val="000000"/>
          <w:sz w:val="32"/>
          <w:szCs w:val="32"/>
          <w:lang w:val="en-US" w:eastAsia="zh-CN"/>
        </w:rPr>
        <w:t>中</w:t>
      </w:r>
      <w:r>
        <w:rPr>
          <w:rFonts w:cs="Times New Roman"/>
          <w:color w:val="000000"/>
          <w:sz w:val="32"/>
          <w:szCs w:val="32"/>
        </w:rPr>
        <w:t>高新技术企业</w:t>
      </w:r>
      <w:r>
        <w:rPr>
          <w:rFonts w:hint="eastAsia" w:cs="Times New Roman"/>
          <w:color w:val="000000"/>
          <w:sz w:val="32"/>
          <w:szCs w:val="32"/>
          <w:lang w:val="en-US" w:eastAsia="zh-CN"/>
        </w:rPr>
        <w:t>占</w:t>
      </w:r>
      <w:r>
        <w:rPr>
          <w:rFonts w:cs="Times New Roman"/>
          <w:color w:val="000000"/>
          <w:sz w:val="32"/>
          <w:szCs w:val="32"/>
        </w:rPr>
        <w:t>比仅为</w:t>
      </w:r>
      <w:r>
        <w:rPr>
          <w:rFonts w:hint="eastAsia" w:cs="Times New Roman"/>
          <w:color w:val="000000"/>
          <w:sz w:val="32"/>
          <w:szCs w:val="32"/>
          <w:lang w:val="en-US" w:eastAsia="zh-CN"/>
        </w:rPr>
        <w:t>4</w:t>
      </w:r>
      <w:r>
        <w:rPr>
          <w:rFonts w:cs="Times New Roman"/>
          <w:color w:val="000000"/>
          <w:sz w:val="32"/>
          <w:szCs w:val="32"/>
        </w:rPr>
        <w:t>.</w:t>
      </w:r>
      <w:r>
        <w:rPr>
          <w:rFonts w:hint="eastAsia" w:cs="Times New Roman"/>
          <w:color w:val="000000"/>
          <w:sz w:val="32"/>
          <w:szCs w:val="32"/>
          <w:lang w:val="en-US" w:eastAsia="zh-CN"/>
        </w:rPr>
        <w:t>4</w:t>
      </w:r>
      <w:r>
        <w:rPr>
          <w:rFonts w:hint="eastAsia" w:ascii="仿宋_GB2312" w:hAnsi="仿宋_GB2312" w:cs="仿宋_GB2312"/>
          <w:sz w:val="32"/>
          <w:szCs w:val="32"/>
          <w:lang w:val="en-US" w:eastAsia="zh-CN"/>
        </w:rPr>
        <w:t>%。科技创新和人才支撑能力不足是神木最大的瓶颈，更是神木“十四五”最为紧迫的任务。</w:t>
      </w:r>
      <w:r>
        <w:rPr>
          <w:rFonts w:hint="eastAsia" w:cs="Times New Roman"/>
          <w:b/>
          <w:bCs/>
          <w:color w:val="000000"/>
          <w:sz w:val="32"/>
          <w:szCs w:val="32"/>
          <w:lang w:val="en-US" w:eastAsia="zh-CN"/>
        </w:rPr>
        <w:t>四是统筹</w:t>
      </w:r>
      <w:r>
        <w:rPr>
          <w:rFonts w:hint="eastAsia" w:ascii="仿宋_GB2312" w:hAnsi="仿宋_GB2312" w:eastAsia="仿宋_GB2312" w:cs="仿宋_GB2312"/>
          <w:b/>
          <w:bCs/>
          <w:sz w:val="32"/>
          <w:szCs w:val="32"/>
          <w:lang w:val="en-US" w:eastAsia="zh-CN"/>
        </w:rPr>
        <w:t>高基数下的</w:t>
      </w:r>
      <w:r>
        <w:rPr>
          <w:rFonts w:hint="eastAsia" w:ascii="仿宋_GB2312" w:hAnsi="仿宋_GB2312" w:cs="仿宋_GB2312"/>
          <w:b/>
          <w:bCs/>
          <w:sz w:val="32"/>
          <w:szCs w:val="32"/>
          <w:lang w:val="en-US" w:eastAsia="zh-CN"/>
        </w:rPr>
        <w:t>稳定增长和升级转型是</w:t>
      </w:r>
      <w:r>
        <w:rPr>
          <w:rFonts w:hint="eastAsia" w:ascii="仿宋_GB2312" w:hAnsi="仿宋_GB2312" w:eastAsia="仿宋_GB2312" w:cs="仿宋_GB2312"/>
          <w:b/>
          <w:bCs/>
          <w:sz w:val="32"/>
          <w:szCs w:val="32"/>
          <w:lang w:val="en-US" w:eastAsia="zh-CN"/>
        </w:rPr>
        <w:t>最大的难题</w:t>
      </w:r>
      <w:r>
        <w:rPr>
          <w:rFonts w:hint="eastAsia" w:ascii="仿宋_GB2312" w:hAnsi="仿宋_GB2312" w:cs="仿宋_GB2312"/>
          <w:b/>
          <w:bCs/>
          <w:sz w:val="32"/>
          <w:szCs w:val="32"/>
          <w:lang w:val="en-US" w:eastAsia="zh-CN"/>
        </w:rPr>
        <w:t>。</w:t>
      </w:r>
      <w:r>
        <w:rPr>
          <w:rFonts w:hint="eastAsia" w:ascii="仿宋_GB2312" w:hAnsi="仿宋_GB2312" w:cs="仿宋_GB2312"/>
          <w:sz w:val="32"/>
          <w:szCs w:val="32"/>
          <w:lang w:val="en-US" w:eastAsia="zh-CN"/>
        </w:rPr>
        <w:t>神木经济总量已达到1300亿元以上，是全省、全市的重要增长极，在支撑全省、全市发展中作用突出。</w:t>
      </w:r>
      <w:r>
        <w:rPr>
          <w:rFonts w:hint="eastAsia" w:cs="Times New Roman"/>
          <w:sz w:val="32"/>
          <w:szCs w:val="32"/>
          <w:lang w:val="en-US" w:eastAsia="zh-CN"/>
        </w:rPr>
        <w:t>“十四五”期间，神木必须加快新旧动能转换步伐，兰炭、电石、金属镁、铁合金等传统产业面临淘汰关停风险，必须下决心加快升级改造步伐。新兴产业引进培育步伐缓慢，必须下功夫加快新动能成长，统筹做好</w:t>
      </w:r>
      <w:r>
        <w:rPr>
          <w:rFonts w:hint="default" w:ascii="Times New Roman" w:hAnsi="Times New Roman" w:eastAsia="仿宋_GB2312" w:cs="Times New Roman"/>
          <w:sz w:val="32"/>
          <w:szCs w:val="32"/>
        </w:rPr>
        <w:t>高基数</w:t>
      </w:r>
      <w:r>
        <w:rPr>
          <w:rFonts w:hint="default" w:cs="Times New Roman"/>
          <w:sz w:val="32"/>
          <w:szCs w:val="32"/>
          <w:lang w:val="en-US" w:eastAsia="zh-CN"/>
        </w:rPr>
        <w:t>下</w:t>
      </w:r>
      <w:r>
        <w:rPr>
          <w:rFonts w:hint="eastAsia" w:cs="Times New Roman"/>
          <w:sz w:val="32"/>
          <w:szCs w:val="32"/>
          <w:lang w:val="en-US" w:eastAsia="zh-CN"/>
        </w:rPr>
        <w:t>的稳定增长和升级转型</w:t>
      </w:r>
      <w:r>
        <w:rPr>
          <w:rFonts w:hint="default" w:ascii="Times New Roman" w:hAnsi="Times New Roman" w:eastAsia="仿宋_GB2312" w:cs="Times New Roman"/>
          <w:sz w:val="32"/>
          <w:szCs w:val="32"/>
        </w:rPr>
        <w:t>任务</w:t>
      </w:r>
      <w:r>
        <w:rPr>
          <w:rFonts w:hint="eastAsia" w:cs="Times New Roman"/>
          <w:sz w:val="32"/>
          <w:szCs w:val="32"/>
          <w:lang w:val="en-US" w:eastAsia="zh-CN"/>
        </w:rPr>
        <w:t>异常</w:t>
      </w:r>
      <w:r>
        <w:rPr>
          <w:rFonts w:hint="default" w:ascii="Times New Roman" w:hAnsi="Times New Roman" w:eastAsia="仿宋_GB2312" w:cs="Times New Roman"/>
          <w:sz w:val="32"/>
          <w:szCs w:val="32"/>
        </w:rPr>
        <w:t>繁重。</w:t>
      </w:r>
      <w:r>
        <w:rPr>
          <w:rFonts w:hint="eastAsia" w:cs="Times New Roman"/>
          <w:b/>
          <w:bCs/>
          <w:color w:val="000000"/>
          <w:sz w:val="32"/>
          <w:szCs w:val="32"/>
          <w:lang w:val="en-US" w:eastAsia="zh-CN"/>
        </w:rPr>
        <w:t>五是发</w:t>
      </w:r>
      <w:r>
        <w:rPr>
          <w:rFonts w:hint="eastAsia" w:ascii="仿宋_GB2312" w:hAnsi="仿宋_GB2312" w:cs="仿宋_GB2312"/>
          <w:b/>
          <w:bCs/>
          <w:sz w:val="32"/>
          <w:szCs w:val="32"/>
          <w:lang w:val="en-US" w:eastAsia="zh-CN"/>
        </w:rPr>
        <w:t>展不平衡不协调是最大的短板。</w:t>
      </w:r>
      <w:r>
        <w:rPr>
          <w:rFonts w:hint="eastAsia" w:cs="Times New Roman"/>
          <w:sz w:val="32"/>
          <w:szCs w:val="32"/>
          <w:lang w:val="en-US" w:eastAsia="zh-CN"/>
        </w:rPr>
        <w:t>过度依赖能源开发惯性与主动转型发展惰性并存，一煤独大的局面未根本改变，三次产业占比为2.02:76.04:21.94。城镇与农村、北部与南部、工业与农业发展差距仍在拉大，优化发展布局、缩小区域差距是实现高质量发展必须补齐的短板。</w:t>
      </w:r>
    </w:p>
    <w:p>
      <w:pPr>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default" w:cs="Times New Roman"/>
          <w:color w:val="FF0000"/>
          <w:sz w:val="32"/>
          <w:szCs w:val="32"/>
          <w:lang w:val="en-US"/>
        </w:rPr>
      </w:pPr>
      <w:r>
        <w:rPr>
          <w:rFonts w:hint="eastAsia" w:ascii="仿宋_GB2312" w:hAnsi="仿宋_GB2312" w:cs="仿宋_GB2312"/>
          <w:sz w:val="32"/>
          <w:szCs w:val="32"/>
          <w:lang w:val="en-US" w:eastAsia="zh-CN"/>
        </w:rPr>
        <w:t>面对“十四五”乃至更长时期不确定的国内外发展环境，加快神木的经济转型、产业升级，关键要有识变之智、应变之方、求变之勇，把谋事与谋势、谋当下与谋未来统一起来，立足</w:t>
      </w:r>
      <w:r>
        <w:rPr>
          <w:rFonts w:ascii="Times New Roman" w:hAnsi="Times New Roman" w:cs="Times New Roman"/>
          <w:color w:val="000000"/>
          <w:sz w:val="32"/>
          <w:szCs w:val="32"/>
        </w:rPr>
        <w:t>神木</w:t>
      </w:r>
      <w:r>
        <w:rPr>
          <w:rFonts w:hint="eastAsia" w:cs="Times New Roman"/>
          <w:color w:val="000000"/>
          <w:sz w:val="32"/>
          <w:szCs w:val="32"/>
          <w:lang w:val="en-US" w:eastAsia="zh-CN"/>
        </w:rPr>
        <w:t>30</w:t>
      </w:r>
      <w:r>
        <w:rPr>
          <w:rFonts w:ascii="Times New Roman" w:hAnsi="Times New Roman" w:cs="Times New Roman"/>
          <w:color w:val="000000"/>
          <w:sz w:val="32"/>
          <w:szCs w:val="32"/>
        </w:rPr>
        <w:t>多年</w:t>
      </w:r>
      <w:r>
        <w:rPr>
          <w:rFonts w:hint="eastAsia" w:ascii="Times New Roman" w:hAnsi="Times New Roman" w:cs="Times New Roman"/>
          <w:color w:val="000000"/>
          <w:sz w:val="32"/>
          <w:szCs w:val="32"/>
        </w:rPr>
        <w:t>来</w:t>
      </w:r>
      <w:r>
        <w:rPr>
          <w:rFonts w:hint="eastAsia" w:cs="Times New Roman"/>
          <w:color w:val="000000"/>
          <w:sz w:val="32"/>
          <w:szCs w:val="32"/>
          <w:lang w:val="en-US" w:eastAsia="zh-CN"/>
        </w:rPr>
        <w:t>的</w:t>
      </w:r>
      <w:r>
        <w:rPr>
          <w:rFonts w:hint="eastAsia" w:ascii="Times New Roman" w:hAnsi="Times New Roman" w:cs="Times New Roman"/>
          <w:color w:val="000000"/>
          <w:sz w:val="32"/>
          <w:szCs w:val="32"/>
        </w:rPr>
        <w:t>发展基础</w:t>
      </w:r>
      <w:r>
        <w:rPr>
          <w:rFonts w:hint="eastAsia" w:cs="Times New Roman"/>
          <w:color w:val="000000"/>
          <w:sz w:val="32"/>
          <w:szCs w:val="32"/>
          <w:lang w:eastAsia="zh-CN"/>
        </w:rPr>
        <w:t>、</w:t>
      </w:r>
      <w:r>
        <w:rPr>
          <w:rFonts w:ascii="Times New Roman" w:hAnsi="Times New Roman" w:cs="Times New Roman"/>
          <w:color w:val="000000"/>
          <w:sz w:val="32"/>
          <w:szCs w:val="32"/>
        </w:rPr>
        <w:t>发展</w:t>
      </w:r>
      <w:r>
        <w:rPr>
          <w:rFonts w:hint="eastAsia" w:ascii="Times New Roman" w:hAnsi="Times New Roman" w:cs="Times New Roman"/>
          <w:color w:val="000000"/>
          <w:sz w:val="32"/>
          <w:szCs w:val="32"/>
        </w:rPr>
        <w:t>成效</w:t>
      </w:r>
      <w:r>
        <w:rPr>
          <w:rFonts w:hint="eastAsia" w:cs="Times New Roman"/>
          <w:color w:val="000000"/>
          <w:sz w:val="32"/>
          <w:szCs w:val="32"/>
          <w:lang w:val="en-US" w:eastAsia="zh-CN"/>
        </w:rPr>
        <w:t>和</w:t>
      </w:r>
      <w:r>
        <w:rPr>
          <w:rFonts w:hint="eastAsia" w:ascii="Times New Roman" w:hAnsi="Times New Roman" w:cs="Times New Roman"/>
          <w:color w:val="000000"/>
          <w:sz w:val="32"/>
          <w:szCs w:val="32"/>
        </w:rPr>
        <w:t>发展经验，</w:t>
      </w:r>
      <w:r>
        <w:rPr>
          <w:rFonts w:hint="eastAsia" w:cs="Times New Roman"/>
          <w:color w:val="000000"/>
          <w:sz w:val="32"/>
          <w:szCs w:val="32"/>
          <w:lang w:val="en-US" w:eastAsia="zh-CN"/>
        </w:rPr>
        <w:t>传统优势支撑逐步下降，新的优势在加快转换，必须要深入挖掘神木在新阶段转型持续发展的新优势、新支撑。</w:t>
      </w:r>
      <w:r>
        <w:rPr>
          <w:rFonts w:cs="Times New Roman"/>
          <w:b/>
          <w:bCs/>
          <w:color w:val="000000"/>
          <w:sz w:val="32"/>
          <w:szCs w:val="32"/>
        </w:rPr>
        <w:t>一是</w:t>
      </w:r>
      <w:r>
        <w:rPr>
          <w:rFonts w:hint="eastAsia" w:cs="Times New Roman"/>
          <w:b/>
          <w:bCs/>
          <w:color w:val="000000"/>
          <w:sz w:val="32"/>
          <w:szCs w:val="32"/>
          <w:lang w:eastAsia="zh-CN"/>
        </w:rPr>
        <w:t>自然神奇。</w:t>
      </w:r>
      <w:r>
        <w:rPr>
          <w:rFonts w:hint="eastAsia" w:ascii="Times New Roman" w:hAnsi="Times New Roman" w:cs="Times New Roman"/>
          <w:color w:val="000000" w:themeColor="text1"/>
          <w:sz w:val="32"/>
          <w:szCs w:val="32"/>
          <w:lang w:val="en-US" w:eastAsia="zh-CN"/>
          <w14:textFill>
            <w14:solidFill>
              <w14:schemeClr w14:val="tx1"/>
            </w14:solidFill>
          </w14:textFill>
        </w:rPr>
        <w:t>神木</w:t>
      </w:r>
      <w:r>
        <w:rPr>
          <w:rFonts w:hint="default" w:ascii="Times New Roman" w:hAnsi="Times New Roman" w:eastAsia="仿宋_GB2312" w:cs="Times New Roman"/>
          <w:color w:val="000000" w:themeColor="text1"/>
          <w:sz w:val="32"/>
          <w:szCs w:val="32"/>
          <w14:textFill>
            <w14:solidFill>
              <w14:schemeClr w14:val="tx1"/>
            </w14:solidFill>
          </w14:textFill>
        </w:rPr>
        <w:t>是</w:t>
      </w:r>
      <w:r>
        <w:rPr>
          <w:rFonts w:hint="eastAsia" w:cs="Times New Roman"/>
          <w:color w:val="000000" w:themeColor="text1"/>
          <w:sz w:val="32"/>
          <w:szCs w:val="32"/>
          <w:lang w:val="en-US" w:eastAsia="zh-CN"/>
          <w14:textFill>
            <w14:solidFill>
              <w14:schemeClr w14:val="tx1"/>
            </w14:solidFill>
          </w14:textFill>
        </w:rPr>
        <w:t>全</w:t>
      </w:r>
      <w:r>
        <w:rPr>
          <w:rFonts w:hint="default" w:ascii="Times New Roman" w:hAnsi="Times New Roman" w:eastAsia="仿宋_GB2312" w:cs="Times New Roman"/>
          <w:color w:val="000000" w:themeColor="text1"/>
          <w:sz w:val="32"/>
          <w:szCs w:val="32"/>
          <w14:textFill>
            <w14:solidFill>
              <w14:schemeClr w14:val="tx1"/>
            </w14:solidFill>
          </w14:textFill>
        </w:rPr>
        <w:t>省国土面积最大的县市，聚集了高原、丘陵、沙地、</w:t>
      </w:r>
      <w:r>
        <w:rPr>
          <w:rFonts w:hint="eastAsia" w:cs="Times New Roman"/>
          <w:color w:val="000000" w:themeColor="text1"/>
          <w:sz w:val="32"/>
          <w:szCs w:val="32"/>
          <w:lang w:eastAsia="zh-CN"/>
          <w14:textFill>
            <w14:solidFill>
              <w14:schemeClr w14:val="tx1"/>
            </w14:solidFill>
          </w14:textFill>
        </w:rPr>
        <w:t>森林、</w:t>
      </w:r>
      <w:r>
        <w:rPr>
          <w:rFonts w:hint="default" w:ascii="Times New Roman" w:hAnsi="Times New Roman" w:eastAsia="仿宋_GB2312" w:cs="Times New Roman"/>
          <w:color w:val="000000" w:themeColor="text1"/>
          <w:sz w:val="32"/>
          <w:szCs w:val="32"/>
          <w14:textFill>
            <w14:solidFill>
              <w14:schemeClr w14:val="tx1"/>
            </w14:solidFill>
          </w14:textFill>
        </w:rPr>
        <w:t>草滩、湖泊、河流</w:t>
      </w:r>
      <w:r>
        <w:rPr>
          <w:rFonts w:hint="eastAsia" w:cs="Times New Roman"/>
          <w:color w:val="000000" w:themeColor="text1"/>
          <w:sz w:val="32"/>
          <w:szCs w:val="32"/>
          <w:lang w:val="en-US" w:eastAsia="zh-CN"/>
          <w14:textFill>
            <w14:solidFill>
              <w14:schemeClr w14:val="tx1"/>
            </w14:solidFill>
          </w14:textFill>
        </w:rPr>
        <w:t>等多种地理元素</w:t>
      </w:r>
      <w:r>
        <w:rPr>
          <w:rFonts w:hint="default" w:ascii="Times New Roman" w:hAnsi="Times New Roman" w:eastAsia="仿宋_GB2312" w:cs="Times New Roman"/>
          <w:color w:val="000000" w:themeColor="text1"/>
          <w:sz w:val="32"/>
          <w:szCs w:val="32"/>
          <w14:textFill>
            <w14:solidFill>
              <w14:schemeClr w14:val="tx1"/>
            </w14:solidFill>
          </w14:textFill>
        </w:rPr>
        <w:t>，犹如地理盆景</w:t>
      </w:r>
      <w:r>
        <w:rPr>
          <w:rFonts w:hint="eastAsia" w:cs="Times New Roman"/>
          <w:color w:val="000000" w:themeColor="text1"/>
          <w:sz w:val="32"/>
          <w:szCs w:val="32"/>
          <w:lang w:eastAsia="zh-CN"/>
          <w14:textFill>
            <w14:solidFill>
              <w14:schemeClr w14:val="tx1"/>
            </w14:solidFill>
          </w14:textFill>
        </w:rPr>
        <w:t>式的</w:t>
      </w:r>
      <w:r>
        <w:rPr>
          <w:rFonts w:hint="default" w:ascii="Times New Roman" w:hAnsi="Times New Roman" w:eastAsia="仿宋_GB2312" w:cs="Times New Roman"/>
          <w:color w:val="000000" w:themeColor="text1"/>
          <w:sz w:val="32"/>
          <w:szCs w:val="32"/>
          <w14:textFill>
            <w14:solidFill>
              <w14:schemeClr w14:val="tx1"/>
            </w14:solidFill>
          </w14:textFill>
        </w:rPr>
        <w:t>北国风光</w:t>
      </w:r>
      <w:r>
        <w:rPr>
          <w:rFonts w:hint="eastAsia" w:cs="Times New Roman"/>
          <w:color w:val="000000" w:themeColor="text1"/>
          <w:sz w:val="32"/>
          <w:szCs w:val="32"/>
          <w:lang w:val="en-US" w:eastAsia="zh-CN"/>
          <w14:textFill>
            <w14:solidFill>
              <w14:schemeClr w14:val="tx1"/>
            </w14:solidFill>
          </w14:textFill>
        </w:rPr>
        <w:t>全国少见</w:t>
      </w:r>
      <w:r>
        <w:rPr>
          <w:rFonts w:hint="eastAsia" w:cs="Times New Roman"/>
          <w:color w:val="000000" w:themeColor="text1"/>
          <w:sz w:val="32"/>
          <w:szCs w:val="32"/>
          <w:lang w:eastAsia="zh-CN"/>
          <w14:textFill>
            <w14:solidFill>
              <w14:schemeClr w14:val="tx1"/>
            </w14:solidFill>
          </w14:textFill>
        </w:rPr>
        <w:t>，</w:t>
      </w:r>
      <w:r>
        <w:rPr>
          <w:rFonts w:hint="eastAsia" w:cs="Times New Roman"/>
          <w:color w:val="000000" w:themeColor="text1"/>
          <w:sz w:val="32"/>
          <w:szCs w:val="32"/>
          <w:lang w:val="en-US" w:eastAsia="zh-CN"/>
          <w14:textFill>
            <w14:solidFill>
              <w14:schemeClr w14:val="tx1"/>
            </w14:solidFill>
          </w14:textFill>
        </w:rPr>
        <w:t>这是神木地域</w:t>
      </w:r>
      <w:r>
        <w:rPr>
          <w:rFonts w:hint="default" w:ascii="Times New Roman" w:hAnsi="Times New Roman" w:eastAsia="仿宋_GB2312" w:cs="Times New Roman"/>
          <w:color w:val="000000" w:themeColor="text1"/>
          <w:sz w:val="32"/>
          <w:szCs w:val="32"/>
          <w14:textFill>
            <w14:solidFill>
              <w14:schemeClr w14:val="tx1"/>
            </w14:solidFill>
          </w14:textFill>
        </w:rPr>
        <w:t>空间广阔</w:t>
      </w:r>
      <w:r>
        <w:rPr>
          <w:rFonts w:hint="eastAsia"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地</w:t>
      </w:r>
      <w:r>
        <w:rPr>
          <w:rFonts w:hint="eastAsia" w:cs="Times New Roman"/>
          <w:color w:val="000000" w:themeColor="text1"/>
          <w:sz w:val="32"/>
          <w:szCs w:val="32"/>
          <w:lang w:val="en-US" w:eastAsia="zh-CN"/>
          <w14:textFill>
            <w14:solidFill>
              <w14:schemeClr w14:val="tx1"/>
            </w14:solidFill>
          </w14:textFill>
        </w:rPr>
        <w:t>貌</w:t>
      </w:r>
      <w:r>
        <w:rPr>
          <w:rFonts w:hint="default" w:ascii="Times New Roman" w:hAnsi="Times New Roman" w:eastAsia="仿宋_GB2312" w:cs="Times New Roman"/>
          <w:color w:val="000000" w:themeColor="text1"/>
          <w:sz w:val="32"/>
          <w:szCs w:val="32"/>
          <w14:textFill>
            <w14:solidFill>
              <w14:schemeClr w14:val="tx1"/>
            </w14:solidFill>
          </w14:textFill>
        </w:rPr>
        <w:t>类型多样的</w:t>
      </w:r>
      <w:r>
        <w:rPr>
          <w:rFonts w:hint="eastAsia" w:cs="Times New Roman"/>
          <w:b/>
          <w:bCs/>
          <w:color w:val="000000" w:themeColor="text1"/>
          <w:sz w:val="32"/>
          <w:szCs w:val="32"/>
          <w:lang w:val="en-US" w:eastAsia="zh-CN"/>
          <w14:textFill>
            <w14:solidFill>
              <w14:schemeClr w14:val="tx1"/>
            </w14:solidFill>
          </w14:textFill>
        </w:rPr>
        <w:t>自然基础</w:t>
      </w:r>
      <w:r>
        <w:rPr>
          <w:rFonts w:hint="default" w:ascii="Times New Roman" w:hAnsi="Times New Roman" w:eastAsia="仿宋_GB2312" w:cs="Times New Roman"/>
          <w:b/>
          <w:bCs/>
          <w:color w:val="000000" w:themeColor="text1"/>
          <w:sz w:val="32"/>
          <w:szCs w:val="32"/>
          <w14:textFill>
            <w14:solidFill>
              <w14:schemeClr w14:val="tx1"/>
            </w14:solidFill>
          </w14:textFill>
        </w:rPr>
        <w:t>优势</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eastAsia" w:cs="Times New Roman"/>
          <w:b/>
          <w:bCs/>
          <w:color w:val="000000"/>
          <w:sz w:val="32"/>
          <w:szCs w:val="32"/>
          <w:lang w:eastAsia="zh-CN"/>
        </w:rPr>
        <w:t>二是资源富集。</w:t>
      </w:r>
      <w:r>
        <w:rPr>
          <w:rFonts w:hint="eastAsia" w:cs="Times New Roman"/>
          <w:b w:val="0"/>
          <w:bCs w:val="0"/>
          <w:color w:val="000000"/>
          <w:sz w:val="32"/>
          <w:szCs w:val="32"/>
          <w:lang w:eastAsia="zh-CN"/>
        </w:rPr>
        <w:t>神木</w:t>
      </w:r>
      <w:r>
        <w:rPr>
          <w:rFonts w:hint="eastAsia" w:cs="Times New Roman"/>
          <w:b w:val="0"/>
          <w:bCs w:val="0"/>
          <w:color w:val="000000"/>
          <w:sz w:val="32"/>
          <w:szCs w:val="32"/>
          <w:lang w:val="en-US" w:eastAsia="zh-CN"/>
        </w:rPr>
        <w:t>煤产量全国最大，品质优势突出，在碳中和背景下，以煤为主的能源格局短期内不会改变，虽然比例会出现下降，但国家并不会分散对煤的注意力。特低灰、特低磷、特低硫、高发热量的显著特征，在支撑保障国家能源安全中的地位更加突出，这是神木煤支撑高质量发展的</w:t>
      </w:r>
      <w:r>
        <w:rPr>
          <w:rFonts w:hint="eastAsia" w:cs="Times New Roman"/>
          <w:b/>
          <w:bCs/>
          <w:color w:val="000000" w:themeColor="text1"/>
          <w:sz w:val="32"/>
          <w:szCs w:val="32"/>
          <w:lang w:val="en-US" w:eastAsia="zh-CN"/>
          <w14:textFill>
            <w14:solidFill>
              <w14:schemeClr w14:val="tx1"/>
            </w14:solidFill>
          </w14:textFill>
        </w:rPr>
        <w:t>产能基础优势</w:t>
      </w:r>
      <w:r>
        <w:rPr>
          <w:rFonts w:hint="eastAsia" w:cs="Times New Roman"/>
          <w:b w:val="0"/>
          <w:bCs w:val="0"/>
          <w:color w:val="000000"/>
          <w:sz w:val="32"/>
          <w:szCs w:val="32"/>
          <w:lang w:val="en-US" w:eastAsia="zh-CN"/>
        </w:rPr>
        <w:t>。</w:t>
      </w:r>
      <w:r>
        <w:rPr>
          <w:rFonts w:hint="eastAsia" w:cs="Times New Roman"/>
          <w:b/>
          <w:bCs/>
          <w:color w:val="000000"/>
          <w:sz w:val="32"/>
          <w:szCs w:val="32"/>
          <w:lang w:val="en-US" w:eastAsia="zh-CN"/>
        </w:rPr>
        <w:t>三是能化高端。</w:t>
      </w:r>
      <w:r>
        <w:rPr>
          <w:rFonts w:hint="eastAsia" w:cs="Times New Roman"/>
          <w:b w:val="0"/>
          <w:bCs w:val="0"/>
          <w:color w:val="000000"/>
          <w:sz w:val="32"/>
          <w:szCs w:val="32"/>
          <w:lang w:val="en-US" w:eastAsia="zh-CN"/>
        </w:rPr>
        <w:t>煤转电、煤电载能、煤化工、煤基新材料等全产业链享誉全国，支撑了神木30年的快速崛起，是国家“西煤东运”“北煤南送”“西气东输”“西电东送”的战略接续地。在新旧动能转换和新上项目减量置换的大背景下，“十四五”谋划的重大能化项目有量可减、有能可换。这是支撑高质量发展</w:t>
      </w:r>
      <w:r>
        <w:rPr>
          <w:rFonts w:hint="eastAsia" w:cs="Times New Roman"/>
          <w:b/>
          <w:bCs/>
          <w:color w:val="000000"/>
          <w:sz w:val="32"/>
          <w:szCs w:val="32"/>
          <w:lang w:val="en-US" w:eastAsia="zh-CN"/>
        </w:rPr>
        <w:t>产业</w:t>
      </w:r>
      <w:r>
        <w:rPr>
          <w:rFonts w:hint="eastAsia" w:cs="Times New Roman"/>
          <w:b/>
          <w:bCs/>
          <w:color w:val="000000" w:themeColor="text1"/>
          <w:sz w:val="32"/>
          <w:szCs w:val="32"/>
          <w:lang w:val="en-US" w:eastAsia="zh-CN"/>
          <w14:textFill>
            <w14:solidFill>
              <w14:schemeClr w14:val="tx1"/>
            </w14:solidFill>
          </w14:textFill>
        </w:rPr>
        <w:t>存量基础优势</w:t>
      </w:r>
      <w:r>
        <w:rPr>
          <w:rFonts w:hint="eastAsia" w:cs="Times New Roman"/>
          <w:b w:val="0"/>
          <w:bCs w:val="0"/>
          <w:color w:val="000000"/>
          <w:sz w:val="32"/>
          <w:szCs w:val="32"/>
          <w:lang w:val="en-US" w:eastAsia="zh-CN"/>
        </w:rPr>
        <w:t>。</w:t>
      </w:r>
      <w:r>
        <w:rPr>
          <w:rFonts w:hint="eastAsia" w:cs="Times New Roman"/>
          <w:b/>
          <w:bCs/>
          <w:color w:val="000000"/>
          <w:sz w:val="32"/>
          <w:szCs w:val="32"/>
          <w:lang w:val="en-US" w:eastAsia="zh-CN"/>
        </w:rPr>
        <w:t>四是实体强劲。</w:t>
      </w:r>
      <w:r>
        <w:rPr>
          <w:rFonts w:hint="eastAsia" w:cs="Times New Roman"/>
          <w:b w:val="0"/>
          <w:bCs w:val="0"/>
          <w:color w:val="000000"/>
          <w:sz w:val="32"/>
          <w:szCs w:val="32"/>
          <w:lang w:val="en-US" w:eastAsia="zh-CN"/>
        </w:rPr>
        <w:t>全市规上工业企业达298户，市场主体总量达到6万户以上，民营经济发展富有活力，企业普遍盈利能力较强，实物资产、货币资本充裕。在新发展理念的引领下，国企带头转型、民企被迫升级，市场主体主动求变、加快谋转、全面创新的意愿不断强化，这是新阶段升级转型、高质量发展的</w:t>
      </w:r>
      <w:r>
        <w:rPr>
          <w:rFonts w:hint="eastAsia" w:cs="Times New Roman"/>
          <w:b/>
          <w:bCs/>
          <w:color w:val="000000"/>
          <w:sz w:val="32"/>
          <w:szCs w:val="32"/>
          <w:lang w:val="en-US" w:eastAsia="zh-CN"/>
        </w:rPr>
        <w:t>企业</w:t>
      </w:r>
      <w:r>
        <w:rPr>
          <w:rFonts w:hint="eastAsia" w:cs="Times New Roman"/>
          <w:b/>
          <w:bCs/>
          <w:color w:val="000000" w:themeColor="text1"/>
          <w:sz w:val="32"/>
          <w:szCs w:val="32"/>
          <w:lang w:val="en-US" w:eastAsia="zh-CN"/>
          <w14:textFill>
            <w14:solidFill>
              <w14:schemeClr w14:val="tx1"/>
            </w14:solidFill>
          </w14:textFill>
        </w:rPr>
        <w:t>主体基础优势</w:t>
      </w:r>
      <w:r>
        <w:rPr>
          <w:rFonts w:hint="eastAsia" w:cs="Times New Roman"/>
          <w:b w:val="0"/>
          <w:bCs w:val="0"/>
          <w:color w:val="000000"/>
          <w:sz w:val="32"/>
          <w:szCs w:val="32"/>
          <w:lang w:val="en-US" w:eastAsia="zh-CN"/>
        </w:rPr>
        <w:t>。</w:t>
      </w:r>
      <w:r>
        <w:rPr>
          <w:rFonts w:hint="eastAsia" w:cs="Times New Roman"/>
          <w:b/>
          <w:bCs/>
          <w:color w:val="000000"/>
          <w:sz w:val="32"/>
          <w:szCs w:val="32"/>
          <w:lang w:val="en-US" w:eastAsia="zh-CN"/>
        </w:rPr>
        <w:t>五是生态独特。</w:t>
      </w:r>
      <w:r>
        <w:rPr>
          <w:rFonts w:hint="eastAsia" w:cs="Times New Roman"/>
          <w:b w:val="0"/>
          <w:bCs w:val="0"/>
          <w:color w:val="000000"/>
          <w:sz w:val="32"/>
          <w:szCs w:val="32"/>
          <w:lang w:val="en-US" w:eastAsia="zh-CN"/>
        </w:rPr>
        <w:t>神木资源高度富集与生态极其脆弱并存，生态格局在长期发展过程中遭到严重破坏，亟待综合系统治理。以红碱淖为中心的山水林田湖草沙多种地理元素融为一体的综合样本全国少见，随着黄河流域生态保护和高质量发展上升为国家重大发展战略，对于将生态破坏危险转化为生态治理机遇，神木既迎来了采煤沉陷区生态修复的重大历史机遇，又拥有了为全国提供山水林田湖草沙综合治理样本的</w:t>
      </w:r>
      <w:r>
        <w:rPr>
          <w:rFonts w:hint="eastAsia" w:cs="Times New Roman"/>
          <w:b/>
          <w:bCs/>
          <w:color w:val="000000" w:themeColor="text1"/>
          <w:sz w:val="32"/>
          <w:szCs w:val="32"/>
          <w:lang w:val="en-US" w:eastAsia="zh-CN"/>
          <w14:textFill>
            <w14:solidFill>
              <w14:schemeClr w14:val="tx1"/>
            </w14:solidFill>
          </w14:textFill>
        </w:rPr>
        <w:t>试验示范潜在优势</w:t>
      </w:r>
      <w:r>
        <w:rPr>
          <w:rFonts w:hint="eastAsia" w:cs="Times New Roman"/>
          <w:b w:val="0"/>
          <w:bCs w:val="0"/>
          <w:color w:val="000000"/>
          <w:sz w:val="32"/>
          <w:szCs w:val="32"/>
          <w:lang w:val="en-US" w:eastAsia="zh-CN"/>
        </w:rPr>
        <w:t>。</w:t>
      </w:r>
      <w:r>
        <w:rPr>
          <w:rFonts w:hint="eastAsia" w:cs="Times New Roman"/>
          <w:b/>
          <w:bCs/>
          <w:color w:val="000000"/>
          <w:sz w:val="32"/>
          <w:szCs w:val="32"/>
          <w:lang w:val="en-US" w:eastAsia="zh-CN"/>
        </w:rPr>
        <w:t>六是人文厚重。</w:t>
      </w:r>
      <w:r>
        <w:rPr>
          <w:rFonts w:hint="eastAsia" w:cs="Times New Roman"/>
          <w:b w:val="0"/>
          <w:bCs w:val="0"/>
          <w:color w:val="000000"/>
          <w:sz w:val="32"/>
          <w:szCs w:val="32"/>
          <w:lang w:val="en-US" w:eastAsia="zh-CN"/>
        </w:rPr>
        <w:t>黄河文化、长城文化、边塞文化、红色文化等多元文化交汇融合，杨家将的忠勇爱国，石峁遗址的历史积淀，赋予了神木人有闯劲、善开拓、重情义、能吃亏的地域性格，铸就了忠勇、创新、包容、共享的神木精神。这是国际国内双循环新发展格局下，推动神木加快对外开放、扩展区域协作，孕育的一般地区难以比拟的</w:t>
      </w:r>
      <w:r>
        <w:rPr>
          <w:rFonts w:hint="eastAsia" w:cs="Times New Roman"/>
          <w:b/>
          <w:bCs/>
          <w:color w:val="000000" w:themeColor="text1"/>
          <w:sz w:val="32"/>
          <w:szCs w:val="32"/>
          <w:lang w:val="en-US" w:eastAsia="zh-CN"/>
          <w14:textFill>
            <w14:solidFill>
              <w14:schemeClr w14:val="tx1"/>
            </w14:solidFill>
          </w14:textFill>
        </w:rPr>
        <w:t>地域性格潜在优势</w:t>
      </w:r>
      <w:r>
        <w:rPr>
          <w:rFonts w:hint="eastAsia" w:cs="Times New Roman"/>
          <w:b w:val="0"/>
          <w:bCs w:val="0"/>
          <w:color w:val="000000"/>
          <w:sz w:val="32"/>
          <w:szCs w:val="32"/>
          <w:lang w:val="en-US" w:eastAsia="zh-CN"/>
        </w:rPr>
        <w:t>。</w:t>
      </w:r>
      <w:r>
        <w:rPr>
          <w:rFonts w:hint="eastAsia" w:cs="Times New Roman"/>
          <w:b/>
          <w:bCs/>
          <w:color w:val="000000"/>
          <w:sz w:val="32"/>
          <w:szCs w:val="32"/>
          <w:lang w:val="en-US" w:eastAsia="zh-CN"/>
        </w:rPr>
        <w:t>七是环境优良。</w:t>
      </w:r>
      <w:r>
        <w:rPr>
          <w:rFonts w:hint="eastAsia" w:cs="Times New Roman"/>
          <w:color w:val="000000"/>
          <w:sz w:val="32"/>
          <w:szCs w:val="32"/>
          <w:lang w:val="en-US" w:eastAsia="zh-CN"/>
        </w:rPr>
        <w:t>动车开通，高铁开建，通用机场、引黄工程建成，将全面提升</w:t>
      </w:r>
      <w:r>
        <w:rPr>
          <w:rFonts w:hint="eastAsia" w:cs="Times New Roman"/>
          <w:color w:val="000000"/>
          <w:sz w:val="32"/>
          <w:szCs w:val="32"/>
        </w:rPr>
        <w:t>基础设施</w:t>
      </w:r>
      <w:r>
        <w:rPr>
          <w:rFonts w:hint="eastAsia" w:cs="Times New Roman"/>
          <w:color w:val="000000"/>
          <w:sz w:val="32"/>
          <w:szCs w:val="32"/>
          <w:lang w:val="en-US" w:eastAsia="zh-CN"/>
        </w:rPr>
        <w:t>综合</w:t>
      </w:r>
      <w:r>
        <w:rPr>
          <w:rFonts w:hint="eastAsia" w:cs="Times New Roman"/>
          <w:color w:val="000000"/>
          <w:sz w:val="32"/>
          <w:szCs w:val="32"/>
        </w:rPr>
        <w:t>保障能力，</w:t>
      </w:r>
      <w:r>
        <w:rPr>
          <w:rFonts w:hint="eastAsia" w:cs="Times New Roman"/>
          <w:color w:val="000000"/>
          <w:sz w:val="32"/>
          <w:szCs w:val="32"/>
          <w:lang w:val="en-US" w:eastAsia="zh-CN"/>
        </w:rPr>
        <w:t>全国5小时交通圈全面形成，“水”这个最关键的要素短板补齐，</w:t>
      </w:r>
      <w:r>
        <w:rPr>
          <w:rFonts w:hint="eastAsia" w:cs="Times New Roman"/>
          <w:color w:val="000000"/>
          <w:sz w:val="32"/>
          <w:szCs w:val="32"/>
        </w:rPr>
        <w:t>支撑高质量发展</w:t>
      </w:r>
      <w:r>
        <w:rPr>
          <w:rFonts w:hint="eastAsia" w:cs="Times New Roman"/>
          <w:color w:val="000000"/>
          <w:sz w:val="32"/>
          <w:szCs w:val="32"/>
          <w:lang w:val="en-US" w:eastAsia="zh-CN"/>
        </w:rPr>
        <w:t>的“硬环境”更加坚实</w:t>
      </w:r>
      <w:r>
        <w:rPr>
          <w:rFonts w:hint="eastAsia" w:cs="Times New Roman"/>
          <w:color w:val="000000"/>
          <w:sz w:val="32"/>
          <w:szCs w:val="32"/>
          <w:lang w:eastAsia="zh-CN"/>
        </w:rPr>
        <w:t>。</w:t>
      </w:r>
      <w:r>
        <w:rPr>
          <w:rFonts w:hint="eastAsia" w:cs="Times New Roman"/>
          <w:color w:val="000000"/>
          <w:sz w:val="32"/>
          <w:szCs w:val="32"/>
          <w:lang w:val="en-US" w:eastAsia="zh-CN"/>
        </w:rPr>
        <w:t>对标先进发达地区，</w:t>
      </w:r>
      <w:r>
        <w:rPr>
          <w:rFonts w:hint="eastAsia" w:cs="Times New Roman"/>
          <w:color w:val="000000"/>
          <w:sz w:val="32"/>
          <w:szCs w:val="32"/>
          <w:lang w:eastAsia="zh-CN"/>
        </w:rPr>
        <w:t>“</w:t>
      </w:r>
      <w:r>
        <w:rPr>
          <w:rFonts w:hint="eastAsia" w:cs="Times New Roman"/>
          <w:color w:val="000000"/>
          <w:sz w:val="32"/>
          <w:szCs w:val="32"/>
          <w:lang w:val="en-US" w:eastAsia="zh-CN"/>
        </w:rPr>
        <w:t>办事不求人</w:t>
      </w:r>
      <w:r>
        <w:rPr>
          <w:rFonts w:hint="eastAsia" w:cs="Times New Roman"/>
          <w:color w:val="000000"/>
          <w:sz w:val="32"/>
          <w:szCs w:val="32"/>
          <w:lang w:eastAsia="zh-CN"/>
        </w:rPr>
        <w:t>”</w:t>
      </w:r>
      <w:r>
        <w:rPr>
          <w:rFonts w:hint="eastAsia" w:cs="Times New Roman"/>
          <w:color w:val="000000"/>
          <w:sz w:val="32"/>
          <w:szCs w:val="32"/>
          <w:lang w:val="en-US" w:eastAsia="zh-CN"/>
        </w:rPr>
        <w:t>的营商环境品牌全面叫响，“放管服”改革纵深推进，“企业办事不出园”加速推进，信用体系加快重构，降低企业制度性交易成本的“软环境”持续提升。这是招商引资、招才引智培育新发展动能的</w:t>
      </w:r>
      <w:r>
        <w:rPr>
          <w:rFonts w:hint="eastAsia" w:cs="Times New Roman"/>
          <w:b/>
          <w:bCs/>
          <w:color w:val="000000" w:themeColor="text1"/>
          <w:sz w:val="32"/>
          <w:szCs w:val="32"/>
          <w:lang w:val="en-US" w:eastAsia="zh-CN"/>
          <w14:textFill>
            <w14:solidFill>
              <w14:schemeClr w14:val="tx1"/>
            </w14:solidFill>
          </w14:textFill>
        </w:rPr>
        <w:t>环境潜在优势</w:t>
      </w:r>
      <w:r>
        <w:rPr>
          <w:rFonts w:hint="eastAsia" w:cs="Times New Roman"/>
          <w:color w:val="000000"/>
          <w:sz w:val="32"/>
          <w:szCs w:val="32"/>
          <w:lang w:val="en-US" w:eastAsia="zh-CN"/>
        </w:rPr>
        <w:t>。</w:t>
      </w:r>
      <w:r>
        <w:rPr>
          <w:rFonts w:hint="eastAsia" w:cs="Times New Roman"/>
          <w:b/>
          <w:bCs/>
          <w:color w:val="000000"/>
          <w:sz w:val="32"/>
          <w:szCs w:val="32"/>
          <w:lang w:val="en-US" w:eastAsia="zh-CN"/>
        </w:rPr>
        <w:t>八是民生普惠。</w:t>
      </w:r>
      <w:r>
        <w:rPr>
          <w:rFonts w:hint="eastAsia" w:cs="Times New Roman"/>
          <w:color w:val="000000"/>
          <w:sz w:val="32"/>
          <w:szCs w:val="32"/>
          <w:lang w:val="en-US" w:eastAsia="zh-CN"/>
        </w:rPr>
        <w:t>神木民生享有水平全国领先，拥有全覆盖的免费教育、</w:t>
      </w:r>
      <w:r>
        <w:rPr>
          <w:rFonts w:cs="Times New Roman"/>
          <w:color w:val="000000"/>
          <w:sz w:val="32"/>
          <w:szCs w:val="32"/>
        </w:rPr>
        <w:t>全覆盖社保体系</w:t>
      </w:r>
      <w:r>
        <w:rPr>
          <w:rFonts w:hint="eastAsia" w:cs="Times New Roman"/>
          <w:color w:val="000000"/>
          <w:sz w:val="32"/>
          <w:szCs w:val="32"/>
          <w:lang w:eastAsia="zh-CN"/>
        </w:rPr>
        <w:t>、</w:t>
      </w:r>
      <w:r>
        <w:rPr>
          <w:rFonts w:hint="eastAsia" w:cs="Times New Roman"/>
          <w:color w:val="000000"/>
          <w:sz w:val="32"/>
          <w:szCs w:val="32"/>
          <w:lang w:val="en-US" w:eastAsia="zh-CN"/>
        </w:rPr>
        <w:t>高标准的医疗保障和高标准的养老服务，正在由均等化向优质化水平迈进，资源开发上升期带来的财政资金优势，为神木民生水平在全国持续领先、吸引外来人才创业创新和更</w:t>
      </w:r>
      <w:r>
        <w:rPr>
          <w:rFonts w:hint="eastAsia" w:cs="Times New Roman"/>
          <w:color w:val="000000"/>
          <w:sz w:val="32"/>
          <w:szCs w:val="32"/>
        </w:rPr>
        <w:t>好满足群众对美好生活的</w:t>
      </w:r>
      <w:r>
        <w:rPr>
          <w:rFonts w:hint="eastAsia" w:cs="Times New Roman"/>
          <w:color w:val="000000"/>
          <w:sz w:val="32"/>
          <w:szCs w:val="32"/>
          <w:lang w:val="en-US" w:eastAsia="zh-CN"/>
        </w:rPr>
        <w:t>需求提供财力保障。这是我们补齐创新和人才短板的</w:t>
      </w:r>
      <w:r>
        <w:rPr>
          <w:rFonts w:hint="eastAsia" w:cs="Times New Roman"/>
          <w:b/>
          <w:bCs/>
          <w:color w:val="000000" w:themeColor="text1"/>
          <w:sz w:val="32"/>
          <w:szCs w:val="32"/>
          <w:lang w:val="en-US" w:eastAsia="zh-CN"/>
          <w14:textFill>
            <w14:solidFill>
              <w14:schemeClr w14:val="tx1"/>
            </w14:solidFill>
          </w14:textFill>
        </w:rPr>
        <w:t>留人引才潜在优势</w:t>
      </w:r>
      <w:r>
        <w:rPr>
          <w:rFonts w:hint="eastAsia" w:cs="Times New Roman"/>
          <w:color w:val="000000"/>
          <w:sz w:val="32"/>
          <w:szCs w:val="32"/>
          <w:lang w:val="en-US" w:eastAsia="zh-CN"/>
        </w:rPr>
        <w:t>。</w:t>
      </w:r>
      <w:r>
        <w:rPr>
          <w:rFonts w:hint="eastAsia" w:cs="Times New Roman"/>
          <w:b/>
          <w:bCs/>
          <w:color w:val="000000"/>
          <w:sz w:val="32"/>
          <w:szCs w:val="32"/>
          <w:lang w:val="en-US" w:eastAsia="zh-CN"/>
        </w:rPr>
        <w:t>九是百姓富足。</w:t>
      </w:r>
      <w:r>
        <w:rPr>
          <w:rFonts w:hint="eastAsia" w:cs="Times New Roman"/>
          <w:color w:val="000000"/>
          <w:sz w:val="32"/>
          <w:szCs w:val="32"/>
          <w:lang w:val="en-US" w:eastAsia="zh-CN"/>
        </w:rPr>
        <w:t>神木人均GDP近4万美元，民间沉淀资金1300多亿元，城乡人均可支配收入总体较高，为发展谋高质量项目、为投资寻高回报出路、为资本找高收益领域，是“十四五”期间必须要破解的重大课题。激活民间资本活力，必须发挥市场在资源配置中的决定性作用的同时，更好的发挥政府作用，早日将经济工作中的难点痛点转变成实现高质量发展的拐点支点。这是撬动升级转型高质量发展的</w:t>
      </w:r>
      <w:r>
        <w:rPr>
          <w:rFonts w:hint="eastAsia" w:cs="Times New Roman"/>
          <w:b/>
          <w:bCs/>
          <w:color w:val="000000" w:themeColor="text1"/>
          <w:sz w:val="32"/>
          <w:szCs w:val="32"/>
          <w:lang w:val="en-US" w:eastAsia="zh-CN"/>
          <w14:textFill>
            <w14:solidFill>
              <w14:schemeClr w14:val="tx1"/>
            </w14:solidFill>
          </w14:textFill>
        </w:rPr>
        <w:t>资本</w:t>
      </w:r>
      <w:r>
        <w:rPr>
          <w:rFonts w:hint="eastAsia" w:cs="Times New Roman"/>
          <w:b/>
          <w:bCs/>
          <w:color w:val="000000"/>
          <w:sz w:val="32"/>
          <w:szCs w:val="32"/>
          <w:lang w:val="en-US" w:eastAsia="zh-CN"/>
        </w:rPr>
        <w:t>潜</w:t>
      </w:r>
      <w:r>
        <w:rPr>
          <w:rFonts w:hint="eastAsia" w:cs="Times New Roman"/>
          <w:b/>
          <w:bCs/>
          <w:color w:val="000000" w:themeColor="text1"/>
          <w:sz w:val="32"/>
          <w:szCs w:val="32"/>
          <w:lang w:val="en-US" w:eastAsia="zh-CN"/>
          <w14:textFill>
            <w14:solidFill>
              <w14:schemeClr w14:val="tx1"/>
            </w14:solidFill>
          </w14:textFill>
        </w:rPr>
        <w:t>在优势</w:t>
      </w:r>
      <w:r>
        <w:rPr>
          <w:rFonts w:hint="eastAsia" w:cs="Times New Roman"/>
          <w:color w:val="000000"/>
          <w:sz w:val="32"/>
          <w:szCs w:val="32"/>
          <w:lang w:val="en-US" w:eastAsia="zh-CN"/>
        </w:rPr>
        <w:t>。</w:t>
      </w:r>
      <w:r>
        <w:rPr>
          <w:rFonts w:hint="eastAsia" w:cs="Times New Roman"/>
          <w:b/>
          <w:bCs/>
          <w:color w:val="000000"/>
          <w:sz w:val="32"/>
          <w:szCs w:val="32"/>
          <w:lang w:eastAsia="zh-CN"/>
        </w:rPr>
        <w:t>十是前景广阔。</w:t>
      </w:r>
      <w:r>
        <w:rPr>
          <w:rFonts w:hint="eastAsia" w:cs="Times New Roman"/>
          <w:color w:val="000000"/>
          <w:sz w:val="32"/>
          <w:szCs w:val="32"/>
          <w:lang w:val="en-US" w:eastAsia="zh-CN"/>
        </w:rPr>
        <w:t>新一届市委市政府正视问题、直面矛盾、勇于担当、主动作为，一大批年富力强、热情饱满的中青年干部走上领导岗位，</w:t>
      </w:r>
      <w:r>
        <w:rPr>
          <w:rFonts w:cs="Times New Roman"/>
          <w:color w:val="000000"/>
          <w:sz w:val="32"/>
          <w:szCs w:val="32"/>
        </w:rPr>
        <w:t>经历各种严峻考验洗礼的</w:t>
      </w:r>
      <w:r>
        <w:rPr>
          <w:rFonts w:hint="eastAsia" w:cs="Times New Roman"/>
          <w:color w:val="000000"/>
          <w:sz w:val="32"/>
          <w:szCs w:val="32"/>
          <w:lang w:val="en-US" w:eastAsia="zh-CN"/>
        </w:rPr>
        <w:t>广大</w:t>
      </w:r>
      <w:r>
        <w:rPr>
          <w:rFonts w:cs="Times New Roman"/>
          <w:color w:val="000000"/>
          <w:sz w:val="32"/>
          <w:szCs w:val="32"/>
        </w:rPr>
        <w:t>干部群众</w:t>
      </w:r>
      <w:r>
        <w:rPr>
          <w:rFonts w:hint="eastAsia" w:cs="Times New Roman"/>
          <w:color w:val="000000"/>
          <w:sz w:val="32"/>
          <w:szCs w:val="32"/>
          <w:lang w:eastAsia="zh-CN"/>
        </w:rPr>
        <w:t>、</w:t>
      </w:r>
      <w:r>
        <w:rPr>
          <w:rFonts w:cs="Times New Roman"/>
          <w:color w:val="000000"/>
          <w:sz w:val="32"/>
          <w:szCs w:val="32"/>
        </w:rPr>
        <w:t>企业家队伍更加理性成熟</w:t>
      </w:r>
      <w:r>
        <w:rPr>
          <w:rFonts w:hint="eastAsia" w:cs="Times New Roman"/>
          <w:color w:val="000000"/>
          <w:sz w:val="32"/>
          <w:szCs w:val="32"/>
          <w:lang w:eastAsia="zh-CN"/>
        </w:rPr>
        <w:t>，</w:t>
      </w:r>
      <w:r>
        <w:rPr>
          <w:rFonts w:hint="eastAsia" w:cs="Times New Roman"/>
          <w:color w:val="000000"/>
          <w:sz w:val="32"/>
          <w:szCs w:val="32"/>
          <w:lang w:val="en-US" w:eastAsia="zh-CN"/>
        </w:rPr>
        <w:t>积极求变、主动转型。这是神木谱写新时代追赶超越新篇章最大的底气所在和最大的信心所在，也是神木实现资源型城市可持续发展的</w:t>
      </w:r>
      <w:r>
        <w:rPr>
          <w:rFonts w:hint="eastAsia" w:cs="Times New Roman"/>
          <w:b/>
          <w:bCs/>
          <w:color w:val="000000" w:themeColor="text1"/>
          <w:sz w:val="32"/>
          <w:szCs w:val="32"/>
          <w:lang w:val="en-US" w:eastAsia="zh-CN"/>
          <w14:textFill>
            <w14:solidFill>
              <w14:schemeClr w14:val="tx1"/>
            </w14:solidFill>
          </w14:textFill>
        </w:rPr>
        <w:t>最根本基础优势</w:t>
      </w:r>
      <w:r>
        <w:rPr>
          <w:rFonts w:hint="eastAsia" w:cs="Times New Roman"/>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cs="Times New Roman"/>
          <w:color w:val="000000" w:themeColor="text1"/>
          <w:sz w:val="32"/>
          <w:szCs w:val="32"/>
          <w14:textFill>
            <w14:solidFill>
              <w14:schemeClr w14:val="tx1"/>
            </w14:solidFill>
          </w14:textFill>
        </w:rPr>
      </w:pPr>
      <w:r>
        <w:rPr>
          <w:rFonts w:cs="Times New Roman"/>
          <w:color w:val="000000" w:themeColor="text1"/>
          <w:sz w:val="32"/>
          <w:szCs w:val="32"/>
          <w14:textFill>
            <w14:solidFill>
              <w14:schemeClr w14:val="tx1"/>
            </w14:solidFill>
          </w14:textFill>
        </w:rPr>
        <w:t>综合判断，“十四五”时期，神木发展面临的问题挑战虽然比改革开放以来的任何一个时期都更加严峻，但和平与发展仍然是时代主题，外部环境变化总体有利于资源型城市转型发展，神木仍将处于重要战略机遇期。办好神木的事，要增强问题意识和机遇意识，树立改革思维和系统思维，保持战略定力和坚定信念，准确识变、科学应变、主动求变</w:t>
      </w:r>
      <w:r>
        <w:rPr>
          <w:rFonts w:hint="eastAsia" w:cs="Times New Roman"/>
          <w:color w:val="000000" w:themeColor="text1"/>
          <w:sz w:val="32"/>
          <w:szCs w:val="32"/>
          <w:lang w:eastAsia="zh-CN"/>
          <w14:textFill>
            <w14:solidFill>
              <w14:schemeClr w14:val="tx1"/>
            </w14:solidFill>
          </w14:textFill>
        </w:rPr>
        <w:t>，</w:t>
      </w:r>
      <w:r>
        <w:rPr>
          <w:rFonts w:cs="Times New Roman"/>
          <w:color w:val="000000" w:themeColor="text1"/>
          <w:sz w:val="32"/>
          <w:szCs w:val="32"/>
          <w14:textFill>
            <w14:solidFill>
              <w14:schemeClr w14:val="tx1"/>
            </w14:solidFill>
          </w14:textFill>
        </w:rPr>
        <w:t>发扬斗争精神和奉献精神，</w:t>
      </w:r>
      <w:r>
        <w:rPr>
          <w:rFonts w:hint="eastAsia" w:cs="Times New Roman"/>
          <w:color w:val="000000" w:themeColor="text1"/>
          <w:sz w:val="32"/>
          <w:szCs w:val="32"/>
          <w:lang w:val="en-US" w:eastAsia="zh-CN"/>
          <w14:textFill>
            <w14:solidFill>
              <w14:schemeClr w14:val="tx1"/>
            </w14:solidFill>
          </w14:textFill>
        </w:rPr>
        <w:t>想方设法持续</w:t>
      </w:r>
      <w:r>
        <w:rPr>
          <w:rFonts w:hint="eastAsia" w:cs="Times New Roman"/>
          <w:color w:val="000000"/>
          <w:sz w:val="32"/>
          <w:szCs w:val="32"/>
          <w:lang w:val="en-US" w:eastAsia="zh-CN"/>
        </w:rPr>
        <w:t>扩大“五大基础优势”，创新思路挖掘释放“五大潜在优势”，</w:t>
      </w:r>
      <w:r>
        <w:rPr>
          <w:rFonts w:cs="Times New Roman"/>
          <w:color w:val="000000" w:themeColor="text1"/>
          <w:sz w:val="32"/>
          <w:szCs w:val="32"/>
          <w14:textFill>
            <w14:solidFill>
              <w14:schemeClr w14:val="tx1"/>
            </w14:solidFill>
          </w14:textFill>
        </w:rPr>
        <w:t>善于在危机中育先机、于变局中开新局，全面开启</w:t>
      </w:r>
      <w:r>
        <w:rPr>
          <w:rFonts w:hint="eastAsia" w:cs="Times New Roman"/>
          <w:color w:val="000000" w:themeColor="text1"/>
          <w:sz w:val="32"/>
          <w:szCs w:val="32"/>
          <w:lang w:val="en-US" w:eastAsia="zh-CN"/>
          <w14:textFill>
            <w14:solidFill>
              <w14:schemeClr w14:val="tx1"/>
            </w14:solidFill>
          </w14:textFill>
        </w:rPr>
        <w:t>神木谱写追赶超越新篇章、</w:t>
      </w:r>
      <w:r>
        <w:rPr>
          <w:rFonts w:cs="Times New Roman"/>
          <w:color w:val="000000" w:themeColor="text1"/>
          <w:sz w:val="32"/>
          <w:szCs w:val="32"/>
          <w14:textFill>
            <w14:solidFill>
              <w14:schemeClr w14:val="tx1"/>
            </w14:solidFill>
          </w14:textFill>
        </w:rPr>
        <w:t>建设社会主义现代化新征程。</w:t>
      </w:r>
    </w:p>
    <w:p>
      <w:pPr>
        <w:pStyle w:val="2"/>
        <w:ind w:firstLine="560"/>
        <w:rPr>
          <w:rFonts w:ascii="Times New Roman" w:hAnsi="Times New Roman" w:cs="Times New Roman"/>
        </w:rPr>
        <w:sectPr>
          <w:footerReference r:id="rId14" w:type="default"/>
          <w:pgSz w:w="11850" w:h="16783"/>
          <w:pgMar w:top="2098" w:right="1474" w:bottom="2041" w:left="1587" w:header="851" w:footer="1134" w:gutter="0"/>
          <w:pgBorders>
            <w:top w:val="none" w:sz="0" w:space="0"/>
            <w:left w:val="none" w:sz="0" w:space="0"/>
            <w:bottom w:val="none" w:sz="0" w:space="0"/>
            <w:right w:val="none" w:sz="0" w:space="0"/>
          </w:pgBorders>
          <w:pgNumType w:fmt="numberInDash" w:start="2" w:chapStyle="1"/>
          <w:cols w:space="0" w:num="1"/>
          <w:rtlGutter w:val="0"/>
          <w:docGrid w:type="lines" w:linePitch="384" w:charSpace="0"/>
        </w:sectPr>
      </w:pPr>
    </w:p>
    <w:p>
      <w:pPr>
        <w:pStyle w:val="3"/>
        <w:ind w:left="0" w:firstLine="0" w:firstLineChars="0"/>
        <w:rPr>
          <w:rFonts w:hint="eastAsia" w:ascii="Times New Roman" w:hAnsi="Times New Roman" w:eastAsia="方正小标宋简体" w:cs="Times New Roman"/>
          <w:w w:val="91"/>
          <w:sz w:val="44"/>
          <w:szCs w:val="44"/>
          <w:lang w:eastAsia="zh-CN"/>
        </w:rPr>
      </w:pPr>
      <w:bookmarkStart w:id="4" w:name="_Toc26908"/>
      <w:r>
        <w:rPr>
          <w:rFonts w:ascii="Times New Roman" w:hAnsi="Times New Roman" w:eastAsia="方正小标宋简体" w:cs="Times New Roman"/>
          <w:w w:val="91"/>
          <w:sz w:val="44"/>
          <w:szCs w:val="44"/>
        </w:rPr>
        <w:t xml:space="preserve">第二章 </w:t>
      </w:r>
      <w:r>
        <w:rPr>
          <w:rFonts w:hint="eastAsia" w:ascii="Times New Roman" w:hAnsi="Times New Roman" w:eastAsia="方正小标宋简体" w:cs="Times New Roman"/>
          <w:w w:val="91"/>
          <w:sz w:val="44"/>
          <w:szCs w:val="44"/>
          <w:lang w:val="en-US" w:eastAsia="zh-CN"/>
        </w:rPr>
        <w:t>明确发展目标</w:t>
      </w:r>
      <w:r>
        <w:rPr>
          <w:rFonts w:hint="eastAsia" w:ascii="Times New Roman" w:hAnsi="Times New Roman" w:eastAsia="方正小标宋简体" w:cs="Times New Roman"/>
          <w:w w:val="91"/>
          <w:sz w:val="44"/>
          <w:szCs w:val="44"/>
          <w:lang w:eastAsia="zh-CN"/>
        </w:rPr>
        <w:t>，</w:t>
      </w:r>
      <w:r>
        <w:rPr>
          <w:rFonts w:hint="eastAsia" w:ascii="Times New Roman" w:hAnsi="Times New Roman" w:eastAsia="方正小标宋简体" w:cs="Times New Roman"/>
          <w:w w:val="91"/>
          <w:sz w:val="44"/>
          <w:szCs w:val="44"/>
          <w:lang w:val="en-US" w:eastAsia="zh-CN"/>
        </w:rPr>
        <w:t>谱写新时代追赶超越新篇章</w:t>
      </w:r>
      <w:bookmarkEnd w:id="4"/>
    </w:p>
    <w:p>
      <w:pPr>
        <w:pStyle w:val="44"/>
        <w:keepNext w:val="0"/>
        <w:keepLines w:val="0"/>
        <w:pageBreakBefore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1"/>
        <w:rPr>
          <w:rFonts w:hint="eastAsia" w:ascii="楷体_GB2312" w:hAnsi="楷体_GB2312" w:eastAsia="楷体_GB2312" w:cs="楷体_GB2312"/>
          <w:bCs/>
          <w:sz w:val="32"/>
          <w:szCs w:val="32"/>
        </w:rPr>
      </w:pPr>
      <w:bookmarkStart w:id="5" w:name="_Toc15407"/>
      <w:r>
        <w:rPr>
          <w:rFonts w:hint="eastAsia" w:ascii="楷体_GB2312" w:hAnsi="楷体_GB2312" w:eastAsia="楷体_GB2312" w:cs="楷体_GB2312"/>
          <w:bCs/>
          <w:sz w:val="32"/>
          <w:szCs w:val="32"/>
        </w:rPr>
        <w:t>第一节 指导思想</w:t>
      </w:r>
      <w:bookmarkEnd w:id="5"/>
    </w:p>
    <w:p>
      <w:pPr>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rPr>
          <w:rFonts w:hint="default" w:eastAsia="仿宋_GB2312" w:cs="Times New Roman"/>
          <w:color w:val="000000"/>
          <w:kern w:val="2"/>
          <w:sz w:val="32"/>
          <w:szCs w:val="32"/>
          <w:lang w:val="en-US" w:eastAsia="zh-CN"/>
        </w:rPr>
      </w:pPr>
      <w:r>
        <w:rPr>
          <w:rFonts w:hint="eastAsia" w:cs="Times New Roman"/>
          <w:color w:val="000000"/>
          <w:kern w:val="2"/>
          <w:sz w:val="32"/>
          <w:szCs w:val="32"/>
          <w:lang w:eastAsia="zh-CN"/>
        </w:rPr>
        <w:t>高举中国特色社会主义伟大旗帜，深入贯彻党的十九大和十九届二中、三中、四中、五中全会精神，坚持</w:t>
      </w:r>
      <w:r>
        <w:rPr>
          <w:rFonts w:hint="eastAsia" w:cs="Times New Roman"/>
          <w:color w:val="000000"/>
          <w:kern w:val="2"/>
          <w:sz w:val="32"/>
          <w:szCs w:val="32"/>
        </w:rPr>
        <w:t>以</w:t>
      </w:r>
      <w:r>
        <w:rPr>
          <w:rFonts w:cs="Times New Roman"/>
          <w:color w:val="000000"/>
          <w:kern w:val="2"/>
          <w:sz w:val="32"/>
          <w:szCs w:val="32"/>
        </w:rPr>
        <w:t>习近平新时代中国特色社会主义思想</w:t>
      </w:r>
      <w:r>
        <w:rPr>
          <w:rFonts w:hint="eastAsia" w:cs="Times New Roman"/>
          <w:color w:val="000000"/>
          <w:kern w:val="2"/>
          <w:sz w:val="32"/>
          <w:szCs w:val="32"/>
          <w:lang w:eastAsia="zh-CN"/>
        </w:rPr>
        <w:t>为指导，认真贯彻</w:t>
      </w:r>
      <w:r>
        <w:rPr>
          <w:rFonts w:cs="Times New Roman"/>
          <w:color w:val="000000"/>
          <w:kern w:val="2"/>
          <w:sz w:val="32"/>
          <w:szCs w:val="32"/>
        </w:rPr>
        <w:t>习</w:t>
      </w:r>
      <w:r>
        <w:rPr>
          <w:rFonts w:hint="eastAsia" w:cs="Times New Roman"/>
          <w:color w:val="000000"/>
          <w:kern w:val="2"/>
          <w:sz w:val="32"/>
          <w:szCs w:val="32"/>
          <w:lang w:eastAsia="zh-CN"/>
        </w:rPr>
        <w:t>近平</w:t>
      </w:r>
      <w:r>
        <w:rPr>
          <w:rFonts w:cs="Times New Roman"/>
          <w:color w:val="000000"/>
          <w:kern w:val="2"/>
          <w:sz w:val="32"/>
          <w:szCs w:val="32"/>
        </w:rPr>
        <w:t>总书记</w:t>
      </w:r>
      <w:r>
        <w:rPr>
          <w:rFonts w:hint="eastAsia" w:cs="Times New Roman"/>
          <w:color w:val="000000"/>
          <w:kern w:val="2"/>
          <w:sz w:val="32"/>
          <w:szCs w:val="32"/>
          <w:lang w:eastAsia="zh-CN"/>
        </w:rPr>
        <w:t>视察</w:t>
      </w:r>
      <w:r>
        <w:rPr>
          <w:rFonts w:cs="Times New Roman"/>
          <w:color w:val="000000"/>
          <w:kern w:val="2"/>
          <w:sz w:val="32"/>
          <w:szCs w:val="32"/>
        </w:rPr>
        <w:t>陕</w:t>
      </w:r>
      <w:r>
        <w:rPr>
          <w:rFonts w:hint="eastAsia" w:cs="Times New Roman"/>
          <w:color w:val="000000"/>
          <w:kern w:val="2"/>
          <w:sz w:val="32"/>
          <w:szCs w:val="32"/>
          <w:lang w:eastAsia="zh-CN"/>
        </w:rPr>
        <w:t>西</w:t>
      </w:r>
      <w:r>
        <w:rPr>
          <w:rFonts w:cs="Times New Roman"/>
          <w:color w:val="000000"/>
          <w:kern w:val="2"/>
          <w:sz w:val="32"/>
          <w:szCs w:val="32"/>
        </w:rPr>
        <w:t>重要讲话</w:t>
      </w:r>
      <w:r>
        <w:rPr>
          <w:rFonts w:hint="eastAsia" w:cs="Times New Roman"/>
          <w:color w:val="000000"/>
          <w:kern w:val="2"/>
          <w:sz w:val="32"/>
          <w:szCs w:val="32"/>
          <w:lang w:eastAsia="zh-CN"/>
        </w:rPr>
        <w:t>指示</w:t>
      </w:r>
      <w:r>
        <w:rPr>
          <w:rFonts w:hint="eastAsia" w:cs="Times New Roman"/>
          <w:color w:val="000000"/>
          <w:kern w:val="2"/>
          <w:sz w:val="32"/>
          <w:szCs w:val="32"/>
        </w:rPr>
        <w:t>精神</w:t>
      </w:r>
      <w:r>
        <w:rPr>
          <w:rFonts w:cs="Times New Roman"/>
          <w:color w:val="000000"/>
          <w:kern w:val="2"/>
          <w:sz w:val="32"/>
          <w:szCs w:val="32"/>
        </w:rPr>
        <w:t>，统筹推进“五位一体”</w:t>
      </w:r>
      <w:r>
        <w:rPr>
          <w:rFonts w:hint="eastAsia" w:cs="Times New Roman"/>
          <w:color w:val="000000"/>
          <w:kern w:val="2"/>
          <w:sz w:val="32"/>
          <w:szCs w:val="32"/>
          <w:lang w:eastAsia="zh-CN"/>
        </w:rPr>
        <w:t>总体布局，协调推进</w:t>
      </w:r>
      <w:r>
        <w:rPr>
          <w:rFonts w:cs="Times New Roman"/>
          <w:color w:val="000000"/>
          <w:kern w:val="2"/>
          <w:sz w:val="32"/>
          <w:szCs w:val="32"/>
        </w:rPr>
        <w:t>“四个全面”</w:t>
      </w:r>
      <w:r>
        <w:rPr>
          <w:rFonts w:hint="eastAsia" w:cs="Times New Roman"/>
          <w:color w:val="000000"/>
          <w:kern w:val="2"/>
          <w:sz w:val="32"/>
          <w:szCs w:val="32"/>
          <w:lang w:eastAsia="zh-CN"/>
        </w:rPr>
        <w:t>战略</w:t>
      </w:r>
      <w:r>
        <w:rPr>
          <w:rFonts w:hint="eastAsia" w:cs="Times New Roman"/>
          <w:color w:val="000000"/>
          <w:kern w:val="2"/>
          <w:sz w:val="32"/>
          <w:szCs w:val="32"/>
          <w:lang w:val="en-US" w:eastAsia="zh-CN"/>
        </w:rPr>
        <w:t>布局</w:t>
      </w:r>
      <w:r>
        <w:rPr>
          <w:rFonts w:cs="Times New Roman"/>
          <w:color w:val="000000"/>
          <w:kern w:val="2"/>
          <w:sz w:val="32"/>
          <w:szCs w:val="32"/>
        </w:rPr>
        <w:t>，</w:t>
      </w:r>
      <w:r>
        <w:rPr>
          <w:rFonts w:hint="eastAsia" w:cs="Times New Roman"/>
          <w:color w:val="000000"/>
          <w:kern w:val="2"/>
          <w:sz w:val="32"/>
          <w:szCs w:val="32"/>
          <w:lang w:eastAsia="zh-CN"/>
        </w:rPr>
        <w:t>贯通</w:t>
      </w:r>
      <w:r>
        <w:rPr>
          <w:rFonts w:cs="Times New Roman"/>
          <w:color w:val="000000"/>
          <w:kern w:val="2"/>
          <w:sz w:val="32"/>
          <w:szCs w:val="32"/>
        </w:rPr>
        <w:t>落实</w:t>
      </w:r>
      <w:r>
        <w:rPr>
          <w:rFonts w:cs="Times New Roman"/>
          <w:kern w:val="2"/>
          <w:sz w:val="32"/>
          <w:szCs w:val="32"/>
        </w:rPr>
        <w:t>“五项要求”“五个扎实”</w:t>
      </w:r>
      <w:r>
        <w:rPr>
          <w:rFonts w:hint="eastAsia" w:cs="Times New Roman"/>
          <w:kern w:val="2"/>
          <w:sz w:val="32"/>
          <w:szCs w:val="32"/>
          <w:lang w:eastAsia="zh-CN"/>
        </w:rPr>
        <w:t>，坚持新发展理念，坚持稳中求进工作总基调，</w:t>
      </w:r>
      <w:r>
        <w:rPr>
          <w:rFonts w:cs="Times New Roman"/>
          <w:color w:val="000000"/>
          <w:kern w:val="2"/>
          <w:sz w:val="32"/>
          <w:szCs w:val="32"/>
        </w:rPr>
        <w:t>以</w:t>
      </w:r>
      <w:r>
        <w:rPr>
          <w:rFonts w:hint="eastAsia" w:cs="Times New Roman"/>
          <w:color w:val="000000"/>
          <w:kern w:val="2"/>
          <w:sz w:val="32"/>
          <w:szCs w:val="32"/>
          <w:lang w:eastAsia="zh-CN"/>
        </w:rPr>
        <w:t>高质量发展</w:t>
      </w:r>
      <w:r>
        <w:rPr>
          <w:rFonts w:cs="Times New Roman"/>
          <w:color w:val="000000"/>
          <w:kern w:val="2"/>
          <w:sz w:val="32"/>
          <w:szCs w:val="32"/>
        </w:rPr>
        <w:t>为主题，</w:t>
      </w:r>
      <w:r>
        <w:rPr>
          <w:rFonts w:hint="eastAsia" w:cs="Times New Roman"/>
          <w:sz w:val="32"/>
          <w:szCs w:val="32"/>
          <w:lang w:val="en-US" w:eastAsia="zh-CN"/>
        </w:rPr>
        <w:t>聚焦“当好领头羊、再上新台阶”，深入实施</w:t>
      </w:r>
      <w:r>
        <w:rPr>
          <w:rFonts w:hint="eastAsia" w:cs="Times New Roman"/>
          <w:sz w:val="32"/>
          <w:szCs w:val="32"/>
          <w:lang w:eastAsia="zh-CN"/>
        </w:rPr>
        <w:t>“</w:t>
      </w:r>
      <w:r>
        <w:rPr>
          <w:rFonts w:hint="eastAsia" w:cs="Times New Roman"/>
          <w:sz w:val="32"/>
          <w:szCs w:val="32"/>
          <w:lang w:val="en-US" w:eastAsia="zh-CN"/>
        </w:rPr>
        <w:t>136</w:t>
      </w:r>
      <w:r>
        <w:rPr>
          <w:rFonts w:hint="eastAsia" w:cs="Times New Roman"/>
          <w:sz w:val="32"/>
          <w:szCs w:val="32"/>
          <w:lang w:eastAsia="zh-CN"/>
        </w:rPr>
        <w:t>”</w:t>
      </w:r>
      <w:r>
        <w:rPr>
          <w:rStyle w:val="37"/>
          <w:rFonts w:hint="default" w:ascii="Times New Roman" w:hAnsi="Times New Roman" w:cs="Times New Roman"/>
          <w:sz w:val="32"/>
          <w:szCs w:val="32"/>
        </w:rPr>
        <w:footnoteReference w:id="8"/>
      </w:r>
      <w:r>
        <w:rPr>
          <w:rFonts w:hint="eastAsia" w:cs="Times New Roman"/>
          <w:sz w:val="32"/>
          <w:szCs w:val="32"/>
          <w:lang w:val="en-US" w:eastAsia="zh-CN"/>
        </w:rPr>
        <w:t>发展战略，围绕</w:t>
      </w:r>
      <w:r>
        <w:rPr>
          <w:rFonts w:cs="Times New Roman"/>
          <w:sz w:val="32"/>
          <w:szCs w:val="32"/>
        </w:rPr>
        <w:t>产业高端</w:t>
      </w:r>
      <w:r>
        <w:rPr>
          <w:rFonts w:hint="eastAsia" w:cs="Times New Roman"/>
          <w:sz w:val="32"/>
          <w:szCs w:val="32"/>
          <w:lang w:eastAsia="zh-CN"/>
        </w:rPr>
        <w:t>化</w:t>
      </w:r>
      <w:r>
        <w:rPr>
          <w:rFonts w:cs="Times New Roman"/>
          <w:sz w:val="32"/>
          <w:szCs w:val="32"/>
        </w:rPr>
        <w:t>、</w:t>
      </w:r>
      <w:r>
        <w:rPr>
          <w:rFonts w:hint="eastAsia" w:cs="Times New Roman"/>
          <w:sz w:val="32"/>
          <w:szCs w:val="32"/>
          <w:lang w:eastAsia="zh-CN"/>
        </w:rPr>
        <w:t>新型城镇</w:t>
      </w:r>
      <w:r>
        <w:rPr>
          <w:rFonts w:hint="eastAsia" w:cs="Times New Roman"/>
          <w:sz w:val="32"/>
          <w:szCs w:val="32"/>
          <w:lang w:val="en-US" w:eastAsia="zh-CN"/>
        </w:rPr>
        <w:t>化</w:t>
      </w:r>
      <w:r>
        <w:rPr>
          <w:rFonts w:cs="Times New Roman"/>
          <w:sz w:val="32"/>
          <w:szCs w:val="32"/>
        </w:rPr>
        <w:t>、</w:t>
      </w:r>
      <w:r>
        <w:rPr>
          <w:rFonts w:hint="eastAsia" w:cs="Times New Roman"/>
          <w:sz w:val="32"/>
          <w:szCs w:val="32"/>
          <w:lang w:val="en-US" w:eastAsia="zh-CN"/>
        </w:rPr>
        <w:t>文旅融合化、</w:t>
      </w:r>
      <w:r>
        <w:rPr>
          <w:rFonts w:cs="Times New Roman"/>
          <w:sz w:val="32"/>
          <w:szCs w:val="32"/>
        </w:rPr>
        <w:t>生态绿色</w:t>
      </w:r>
      <w:r>
        <w:rPr>
          <w:rFonts w:hint="eastAsia" w:cs="Times New Roman"/>
          <w:sz w:val="32"/>
          <w:szCs w:val="32"/>
          <w:lang w:eastAsia="zh-CN"/>
        </w:rPr>
        <w:t>化</w:t>
      </w:r>
      <w:r>
        <w:rPr>
          <w:rFonts w:cs="Times New Roman"/>
          <w:sz w:val="32"/>
          <w:szCs w:val="32"/>
        </w:rPr>
        <w:t>、</w:t>
      </w:r>
      <w:r>
        <w:rPr>
          <w:rFonts w:hint="eastAsia" w:cs="Times New Roman"/>
          <w:sz w:val="32"/>
          <w:szCs w:val="32"/>
          <w:lang w:eastAsia="zh-CN"/>
        </w:rPr>
        <w:t>民生优质化、</w:t>
      </w:r>
      <w:r>
        <w:rPr>
          <w:rFonts w:cs="Times New Roman"/>
          <w:sz w:val="32"/>
          <w:szCs w:val="32"/>
        </w:rPr>
        <w:t>治理现代</w:t>
      </w:r>
      <w:r>
        <w:rPr>
          <w:rFonts w:hint="eastAsia" w:cs="Times New Roman"/>
          <w:sz w:val="32"/>
          <w:szCs w:val="32"/>
          <w:lang w:eastAsia="zh-CN"/>
        </w:rPr>
        <w:t>化，加快</w:t>
      </w:r>
      <w:r>
        <w:rPr>
          <w:rFonts w:hint="eastAsia" w:cs="Times New Roman"/>
          <w:sz w:val="32"/>
          <w:szCs w:val="32"/>
          <w:lang w:val="en-US" w:eastAsia="zh-CN"/>
        </w:rPr>
        <w:t>建设黄河“几”字弯城市群高质量发展示范市</w:t>
      </w:r>
      <w:r>
        <w:rPr>
          <w:rFonts w:hint="eastAsia" w:cs="Times New Roman"/>
          <w:sz w:val="32"/>
          <w:szCs w:val="32"/>
          <w:lang w:eastAsia="zh-CN"/>
        </w:rPr>
        <w:t>，</w:t>
      </w:r>
      <w:r>
        <w:rPr>
          <w:rFonts w:cs="Times New Roman"/>
          <w:color w:val="000000"/>
          <w:kern w:val="2"/>
          <w:sz w:val="32"/>
          <w:szCs w:val="32"/>
        </w:rPr>
        <w:t>奋力谱写新时代追赶超越神木</w:t>
      </w:r>
      <w:r>
        <w:rPr>
          <w:rFonts w:hint="eastAsia" w:cs="Times New Roman"/>
          <w:color w:val="000000"/>
          <w:kern w:val="2"/>
          <w:sz w:val="32"/>
          <w:szCs w:val="32"/>
          <w:lang w:eastAsia="zh-CN"/>
        </w:rPr>
        <w:t>全</w:t>
      </w:r>
      <w:r>
        <w:rPr>
          <w:rFonts w:hint="eastAsia" w:cs="Times New Roman"/>
          <w:sz w:val="32"/>
          <w:szCs w:val="32"/>
          <w:lang w:eastAsia="zh-CN"/>
        </w:rPr>
        <w:t>新篇章。</w:t>
      </w:r>
    </w:p>
    <w:p>
      <w:pPr>
        <w:pStyle w:val="44"/>
        <w:keepNext w:val="0"/>
        <w:keepLines w:val="0"/>
        <w:pageBreakBefore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1"/>
        <w:rPr>
          <w:rFonts w:hint="eastAsia" w:ascii="楷体_GB2312" w:hAnsi="楷体_GB2312" w:eastAsia="楷体_GB2312" w:cs="楷体_GB2312"/>
          <w:bCs/>
          <w:sz w:val="32"/>
          <w:szCs w:val="32"/>
        </w:rPr>
      </w:pPr>
      <w:bookmarkStart w:id="6" w:name="_Toc19025"/>
      <w:r>
        <w:rPr>
          <w:rFonts w:hint="eastAsia" w:ascii="楷体_GB2312" w:hAnsi="楷体_GB2312" w:eastAsia="楷体_GB2312" w:cs="楷体_GB2312"/>
          <w:bCs/>
          <w:sz w:val="32"/>
          <w:szCs w:val="32"/>
        </w:rPr>
        <w:t>第二节 发展原则</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cs="Times New Roman"/>
          <w:sz w:val="32"/>
          <w:szCs w:val="32"/>
        </w:rPr>
      </w:pPr>
      <w:r>
        <w:rPr>
          <w:rFonts w:eastAsia="楷体" w:cs="Times New Roman"/>
          <w:b/>
          <w:bCs/>
          <w:sz w:val="32"/>
          <w:szCs w:val="32"/>
        </w:rPr>
        <w:t>——坚持党的全面领导。</w:t>
      </w:r>
      <w:r>
        <w:rPr>
          <w:rFonts w:cs="Times New Roman"/>
          <w:sz w:val="32"/>
          <w:szCs w:val="32"/>
        </w:rPr>
        <w:t>充分发挥市委统揽全局、协调各方作用，持续加强和改进党对经济社会各项事业的领导，推进治理体系和治理能力现代化。全面贯彻落实新发展理念</w:t>
      </w:r>
      <w:r>
        <w:rPr>
          <w:rFonts w:hint="eastAsia" w:cs="Times New Roman"/>
          <w:sz w:val="32"/>
          <w:szCs w:val="32"/>
          <w:lang w:eastAsia="zh-CN"/>
        </w:rPr>
        <w:t>，</w:t>
      </w:r>
      <w:r>
        <w:rPr>
          <w:rFonts w:hint="eastAsia" w:cs="Times New Roman"/>
          <w:sz w:val="32"/>
          <w:szCs w:val="32"/>
          <w:lang w:val="en-US" w:eastAsia="zh-CN"/>
        </w:rPr>
        <w:t>不断</w:t>
      </w:r>
      <w:r>
        <w:rPr>
          <w:rFonts w:cs="Times New Roman"/>
          <w:sz w:val="32"/>
          <w:szCs w:val="32"/>
        </w:rPr>
        <w:t>提</w:t>
      </w:r>
      <w:r>
        <w:rPr>
          <w:rFonts w:hint="eastAsia" w:cs="Times New Roman"/>
          <w:sz w:val="32"/>
          <w:szCs w:val="32"/>
          <w:lang w:val="en-US" w:eastAsia="zh-CN"/>
        </w:rPr>
        <w:t>升</w:t>
      </w:r>
      <w:r>
        <w:rPr>
          <w:rFonts w:cs="Times New Roman"/>
          <w:sz w:val="32"/>
          <w:szCs w:val="32"/>
        </w:rPr>
        <w:t>高质量发展的能力和水平，把党中央和陕西省委、榆林市委的决策部署落实到“十四五”时期神木</w:t>
      </w:r>
      <w:r>
        <w:rPr>
          <w:rFonts w:hint="eastAsia" w:cs="Times New Roman"/>
          <w:sz w:val="32"/>
          <w:szCs w:val="32"/>
          <w:lang w:val="en-US" w:eastAsia="zh-CN"/>
        </w:rPr>
        <w:t>经济社会发展的各项工作中</w:t>
      </w:r>
      <w:r>
        <w:rPr>
          <w:rFonts w:cs="Times New Roman"/>
          <w:sz w:val="32"/>
          <w:szCs w:val="32"/>
        </w:rPr>
        <w:t>，为新时代追赶超越发展提供坚强保证。</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cs="Times New Roman"/>
          <w:sz w:val="32"/>
          <w:szCs w:val="32"/>
        </w:rPr>
      </w:pPr>
      <w:r>
        <w:rPr>
          <w:rFonts w:eastAsia="楷体" w:cs="Times New Roman"/>
          <w:b/>
          <w:bCs/>
          <w:sz w:val="32"/>
          <w:szCs w:val="32"/>
        </w:rPr>
        <w:t>——坚持以人民为中心。</w:t>
      </w:r>
      <w:r>
        <w:rPr>
          <w:rFonts w:cs="Times New Roman"/>
          <w:sz w:val="32"/>
          <w:szCs w:val="32"/>
        </w:rPr>
        <w:t>坚持人民主体地位，坚持共同富裕方向，持续提升民生保障水平，办好民生实事，维护人民群众根本利益，激发人民群众积极性、主动性、创造性，促进社会公平正义，不断增进神木人民福祉。</w:t>
      </w:r>
    </w:p>
    <w:p>
      <w:pPr>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eastAsia="黑体" w:cs="Times New Roman"/>
          <w:sz w:val="32"/>
          <w:szCs w:val="32"/>
        </w:rPr>
      </w:pPr>
      <w:r>
        <w:rPr>
          <w:rFonts w:eastAsia="楷体" w:cs="Times New Roman"/>
          <w:b/>
          <w:bCs/>
          <w:sz w:val="32"/>
          <w:szCs w:val="32"/>
        </w:rPr>
        <w:t>——坚持新发展理念。</w:t>
      </w:r>
      <w:r>
        <w:rPr>
          <w:rFonts w:cs="Times New Roman"/>
          <w:sz w:val="32"/>
          <w:szCs w:val="32"/>
        </w:rPr>
        <w:t>把新发展理念贯穿发展全过程和各领域，崇尚创新、注重协调、倡导绿色、厚植开放、推进共享，切实转变发展方式，推动质量变革、效率变革、动力变革，实现更高质量、更有效率、更加公平、更可持续、更为安全的发展。</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cs="Times New Roman"/>
          <w:sz w:val="32"/>
          <w:szCs w:val="32"/>
        </w:rPr>
      </w:pPr>
      <w:r>
        <w:rPr>
          <w:rFonts w:eastAsia="楷体" w:cs="Times New Roman"/>
          <w:b/>
          <w:bCs/>
          <w:sz w:val="32"/>
          <w:szCs w:val="32"/>
        </w:rPr>
        <w:t>——坚持深化改革开放。</w:t>
      </w:r>
      <w:r>
        <w:rPr>
          <w:rFonts w:cs="Times New Roman"/>
          <w:sz w:val="32"/>
          <w:szCs w:val="32"/>
        </w:rPr>
        <w:t>坚定不移推进改革，破除制约高质量发展、高品质生活的体制机制障碍，加强改革系统集成和协同高效</w:t>
      </w:r>
      <w:r>
        <w:rPr>
          <w:rFonts w:hint="eastAsia" w:cs="Times New Roman"/>
          <w:sz w:val="32"/>
          <w:szCs w:val="32"/>
          <w:lang w:eastAsia="zh-CN"/>
        </w:rPr>
        <w:t>。</w:t>
      </w:r>
      <w:r>
        <w:rPr>
          <w:rFonts w:cs="Times New Roman"/>
          <w:sz w:val="32"/>
          <w:szCs w:val="32"/>
        </w:rPr>
        <w:t>促进市场在资源配置中的决定性作用，</w:t>
      </w:r>
      <w:r>
        <w:rPr>
          <w:rFonts w:hint="eastAsia" w:cs="Times New Roman"/>
          <w:sz w:val="32"/>
          <w:szCs w:val="32"/>
          <w:lang w:val="en-US" w:eastAsia="zh-CN"/>
        </w:rPr>
        <w:t>更好</w:t>
      </w:r>
      <w:r>
        <w:rPr>
          <w:rFonts w:cs="Times New Roman"/>
          <w:sz w:val="32"/>
          <w:szCs w:val="32"/>
        </w:rPr>
        <w:t>发挥政府</w:t>
      </w:r>
      <w:r>
        <w:rPr>
          <w:rFonts w:hint="eastAsia" w:cs="Times New Roman"/>
          <w:sz w:val="32"/>
          <w:szCs w:val="32"/>
          <w:lang w:val="en-US" w:eastAsia="zh-CN"/>
        </w:rPr>
        <w:t>作用。</w:t>
      </w:r>
      <w:r>
        <w:rPr>
          <w:rFonts w:cs="Times New Roman"/>
          <w:sz w:val="32"/>
          <w:szCs w:val="32"/>
        </w:rPr>
        <w:t>深度融入国家重大战略，在国际国内“双循环”格局中加快对内对外开放，持续增强发展动力和活力。</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cs="Times New Roman"/>
          <w:sz w:val="32"/>
          <w:szCs w:val="32"/>
        </w:rPr>
      </w:pPr>
      <w:r>
        <w:rPr>
          <w:rFonts w:eastAsia="楷体" w:cs="Times New Roman"/>
          <w:b/>
          <w:bCs/>
          <w:sz w:val="32"/>
          <w:szCs w:val="32"/>
        </w:rPr>
        <w:t>——坚持系统观念。</w:t>
      </w:r>
      <w:r>
        <w:rPr>
          <w:rFonts w:cs="Times New Roman"/>
          <w:sz w:val="32"/>
          <w:szCs w:val="32"/>
        </w:rPr>
        <w:t>正确处理时与势、危与机、当前与长远、发展和安全的关系，加强前瞻性思考、全局性谋划、战略性布局、整体性推进，着力固根基、扬优势、强弱项</w:t>
      </w:r>
      <w:r>
        <w:rPr>
          <w:rFonts w:hint="eastAsia" w:cs="Times New Roman"/>
          <w:sz w:val="32"/>
          <w:szCs w:val="32"/>
          <w:lang w:eastAsia="zh-CN"/>
        </w:rPr>
        <w:t>、</w:t>
      </w:r>
      <w:r>
        <w:rPr>
          <w:rFonts w:hint="eastAsia" w:cs="Times New Roman"/>
          <w:sz w:val="32"/>
          <w:szCs w:val="32"/>
          <w:lang w:val="en-US" w:eastAsia="zh-CN"/>
        </w:rPr>
        <w:t>锻长板、</w:t>
      </w:r>
      <w:r>
        <w:rPr>
          <w:rFonts w:cs="Times New Roman"/>
          <w:sz w:val="32"/>
          <w:szCs w:val="32"/>
        </w:rPr>
        <w:t>补短板，注重防范化解重大风险挑战，实现发展质量、结构、规模、速度、效益、安全相统一。</w:t>
      </w:r>
    </w:p>
    <w:p>
      <w:pPr>
        <w:pStyle w:val="44"/>
        <w:keepNext w:val="0"/>
        <w:keepLines w:val="0"/>
        <w:pageBreakBefore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1"/>
        <w:rPr>
          <w:rFonts w:hint="eastAsia" w:ascii="楷体_GB2312" w:hAnsi="楷体_GB2312" w:eastAsia="楷体_GB2312" w:cs="楷体_GB2312"/>
          <w:bCs/>
          <w:sz w:val="32"/>
          <w:szCs w:val="32"/>
        </w:rPr>
      </w:pPr>
      <w:bookmarkStart w:id="7" w:name="_Toc23174"/>
      <w:r>
        <w:rPr>
          <w:rFonts w:hint="eastAsia" w:ascii="楷体_GB2312" w:hAnsi="楷体_GB2312" w:eastAsia="楷体_GB2312" w:cs="楷体_GB2312"/>
          <w:bCs/>
          <w:sz w:val="32"/>
          <w:szCs w:val="32"/>
        </w:rPr>
        <w:t>第三节 战略定位</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cs="Times New Roman"/>
          <w:b/>
          <w:bCs/>
          <w:sz w:val="32"/>
          <w:szCs w:val="30"/>
        </w:rPr>
      </w:pPr>
      <w:r>
        <w:rPr>
          <w:rFonts w:cs="Times New Roman"/>
          <w:sz w:val="32"/>
          <w:szCs w:val="32"/>
        </w:rPr>
        <w:t>以“两个一百年”目标为指引，</w:t>
      </w:r>
      <w:r>
        <w:rPr>
          <w:rFonts w:hint="eastAsia" w:cs="Times New Roman"/>
          <w:sz w:val="32"/>
          <w:szCs w:val="32"/>
          <w:lang w:val="en-US" w:eastAsia="zh-CN"/>
        </w:rPr>
        <w:t>以“三区两家园”建设为主攻方向</w:t>
      </w:r>
      <w:r>
        <w:rPr>
          <w:rFonts w:cs="Times New Roman"/>
          <w:sz w:val="32"/>
          <w:szCs w:val="32"/>
        </w:rPr>
        <w:t>，</w:t>
      </w:r>
      <w:r>
        <w:rPr>
          <w:rFonts w:hint="eastAsia" w:cs="Times New Roman"/>
          <w:sz w:val="32"/>
          <w:szCs w:val="32"/>
          <w:lang w:eastAsia="zh-CN"/>
        </w:rPr>
        <w:t>加快</w:t>
      </w:r>
      <w:r>
        <w:rPr>
          <w:rFonts w:cs="Times New Roman"/>
          <w:sz w:val="32"/>
          <w:szCs w:val="32"/>
        </w:rPr>
        <w:t>资源型城市</w:t>
      </w:r>
      <w:r>
        <w:rPr>
          <w:rFonts w:hint="eastAsia" w:cs="Times New Roman"/>
          <w:sz w:val="32"/>
          <w:szCs w:val="32"/>
          <w:lang w:eastAsia="zh-CN"/>
        </w:rPr>
        <w:t>升级转型和</w:t>
      </w:r>
      <w:r>
        <w:rPr>
          <w:rFonts w:cs="Times New Roman"/>
          <w:sz w:val="32"/>
          <w:szCs w:val="32"/>
        </w:rPr>
        <w:t>可持续发展</w:t>
      </w:r>
      <w:r>
        <w:rPr>
          <w:rFonts w:hint="eastAsia" w:cs="Times New Roman"/>
          <w:sz w:val="32"/>
          <w:szCs w:val="32"/>
          <w:lang w:eastAsia="zh-CN"/>
        </w:rPr>
        <w:t>步伐</w:t>
      </w:r>
      <w:r>
        <w:rPr>
          <w:rFonts w:hint="eastAsia" w:cs="Times New Roman"/>
          <w:sz w:val="32"/>
          <w:szCs w:val="32"/>
          <w:lang w:val="en-US" w:eastAsia="zh-CN"/>
        </w:rPr>
        <w:t>，</w:t>
      </w:r>
      <w:r>
        <w:rPr>
          <w:rFonts w:cs="Times New Roman"/>
          <w:sz w:val="32"/>
          <w:szCs w:val="32"/>
        </w:rPr>
        <w:t>奋力谱写神木新时代追赶超越新篇章</w:t>
      </w:r>
      <w:r>
        <w:rPr>
          <w:rFonts w:hint="eastAsia" w:cs="Times New Roman"/>
          <w:sz w:val="32"/>
          <w:szCs w:val="32"/>
          <w:lang w:val="en-US" w:eastAsia="zh-CN"/>
        </w:rPr>
        <w:t>，</w:t>
      </w:r>
      <w:r>
        <w:rPr>
          <w:rFonts w:cs="Times New Roman"/>
          <w:sz w:val="32"/>
          <w:szCs w:val="32"/>
        </w:rPr>
        <w:t>提出神木总发展定位：</w:t>
      </w:r>
      <w:r>
        <w:rPr>
          <w:rFonts w:eastAsia="黑体" w:cs="Times New Roman"/>
          <w:sz w:val="32"/>
          <w:szCs w:val="32"/>
        </w:rPr>
        <w:t>建设</w:t>
      </w:r>
      <w:r>
        <w:rPr>
          <w:rFonts w:eastAsia="黑体" w:cs="Times New Roman"/>
          <w:sz w:val="32"/>
          <w:szCs w:val="30"/>
        </w:rPr>
        <w:t>黄河</w:t>
      </w:r>
      <w:r>
        <w:rPr>
          <w:rFonts w:hint="eastAsia" w:eastAsia="黑体" w:cs="Times New Roman"/>
          <w:sz w:val="32"/>
          <w:szCs w:val="30"/>
          <w:lang w:val="en-US" w:eastAsia="zh-CN"/>
        </w:rPr>
        <w:t>“几”字弯</w:t>
      </w:r>
      <w:r>
        <w:rPr>
          <w:rFonts w:eastAsia="黑体" w:cs="Times New Roman"/>
          <w:sz w:val="32"/>
          <w:szCs w:val="30"/>
        </w:rPr>
        <w:t>城市群高质量发展示范市。</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cs="Times New Roman"/>
          <w:sz w:val="32"/>
          <w:szCs w:val="32"/>
        </w:rPr>
      </w:pPr>
      <w:r>
        <w:rPr>
          <w:rFonts w:eastAsia="楷体" w:cs="Times New Roman"/>
          <w:b/>
          <w:bCs/>
          <w:sz w:val="32"/>
          <w:szCs w:val="32"/>
        </w:rPr>
        <w:t>——世界一流高端能源化工基地核心区。</w:t>
      </w:r>
      <w:r>
        <w:rPr>
          <w:rFonts w:hint="eastAsia" w:cs="Times New Roman"/>
          <w:sz w:val="32"/>
          <w:szCs w:val="32"/>
          <w:lang w:val="en-US" w:eastAsia="zh-CN"/>
        </w:rPr>
        <w:t>协同</w:t>
      </w:r>
      <w:r>
        <w:rPr>
          <w:rFonts w:cs="Times New Roman"/>
          <w:sz w:val="32"/>
          <w:szCs w:val="32"/>
        </w:rPr>
        <w:t>担当保障国家能源安全重任，实施能源革命创新示范，形成煤炭分级分质高效利用、煤基化工等多链条产业关联耦合、协同发展格局，集聚打造新型能源化工生产基地、终端产品加工基地和清洁能源输出基地。</w:t>
      </w:r>
    </w:p>
    <w:p>
      <w:pPr>
        <w:pStyle w:val="10"/>
        <w:keepNext w:val="0"/>
        <w:keepLines w:val="0"/>
        <w:pageBreakBefore w:val="0"/>
        <w:widowControl w:val="0"/>
        <w:kinsoku/>
        <w:wordWrap/>
        <w:overflowPunct/>
        <w:topLinePunct w:val="0"/>
        <w:autoSpaceDE/>
        <w:autoSpaceDN/>
        <w:bidi w:val="0"/>
        <w:spacing w:line="560" w:lineRule="exact"/>
        <w:textAlignment w:val="auto"/>
        <w:rPr>
          <w:rFonts w:hint="eastAsia" w:eastAsia="仿宋_GB2312" w:cs="Times New Roman"/>
          <w:sz w:val="32"/>
          <w:szCs w:val="32"/>
          <w:lang w:eastAsia="zh-CN"/>
        </w:rPr>
      </w:pPr>
      <w:r>
        <w:rPr>
          <w:rFonts w:eastAsia="楷体" w:cs="Times New Roman"/>
          <w:b/>
          <w:bCs/>
          <w:sz w:val="32"/>
          <w:szCs w:val="32"/>
        </w:rPr>
        <w:t>——</w:t>
      </w:r>
      <w:r>
        <w:rPr>
          <w:rFonts w:hint="eastAsia" w:eastAsia="楷体" w:cs="Times New Roman"/>
          <w:b/>
          <w:bCs/>
          <w:sz w:val="32"/>
          <w:szCs w:val="32"/>
          <w:lang w:val="en-US" w:eastAsia="zh-CN" w:bidi="ar-SA"/>
        </w:rPr>
        <w:t>全国山水林田湖草沙系统治理示范区</w:t>
      </w:r>
      <w:r>
        <w:rPr>
          <w:rFonts w:hint="eastAsia" w:ascii="Times New Roman" w:hAnsi="Times New Roman" w:eastAsia="楷体" w:cs="Times New Roman"/>
          <w:b/>
          <w:bCs/>
          <w:sz w:val="32"/>
          <w:szCs w:val="32"/>
          <w:lang w:val="en-US" w:eastAsia="zh-CN" w:bidi="ar-SA"/>
        </w:rPr>
        <w:t>。</w:t>
      </w:r>
      <w:r>
        <w:rPr>
          <w:rFonts w:hint="eastAsia" w:ascii="Times New Roman" w:hAnsi="Times New Roman" w:eastAsia="仿宋_GB2312" w:cs="Times New Roman"/>
          <w:sz w:val="32"/>
          <w:szCs w:val="32"/>
          <w:lang w:val="en-US" w:eastAsia="zh-CN" w:bidi="ar-SA"/>
        </w:rPr>
        <w:t>抢抓黄河流域生态保护和高质量发展国家战略机遇，建立健全生态文明制度体系，深入实施矿区生态修复治理、塞上绿色行动</w:t>
      </w:r>
      <w:r>
        <w:rPr>
          <w:rFonts w:hint="eastAsia"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持续推进北部风沙草滩区综合治理</w:t>
      </w:r>
      <w:r>
        <w:rPr>
          <w:rFonts w:hint="eastAsia" w:cs="Times New Roman"/>
          <w:sz w:val="32"/>
          <w:szCs w:val="32"/>
          <w:lang w:val="en-US" w:eastAsia="zh-CN" w:bidi="ar-SA"/>
        </w:rPr>
        <w:t>和中南部丘陵区小流域治理</w:t>
      </w:r>
      <w:r>
        <w:rPr>
          <w:rFonts w:hint="eastAsia" w:ascii="Times New Roman" w:hAnsi="Times New Roman" w:eastAsia="仿宋_GB2312" w:cs="Times New Roman"/>
          <w:sz w:val="32"/>
          <w:szCs w:val="32"/>
          <w:lang w:val="en-US" w:eastAsia="zh-CN" w:bidi="ar-SA"/>
        </w:rPr>
        <w:t>，</w:t>
      </w:r>
      <w:r>
        <w:rPr>
          <w:rFonts w:hint="eastAsia" w:cs="Times New Roman"/>
          <w:sz w:val="32"/>
          <w:szCs w:val="32"/>
          <w:lang w:val="en-US" w:eastAsia="zh-CN" w:bidi="ar-SA"/>
        </w:rPr>
        <w:t>打造</w:t>
      </w:r>
      <w:r>
        <w:rPr>
          <w:rFonts w:hint="eastAsia" w:ascii="Times New Roman" w:hAnsi="Times New Roman" w:eastAsia="仿宋_GB2312" w:cs="Times New Roman"/>
          <w:sz w:val="32"/>
          <w:szCs w:val="32"/>
          <w:lang w:val="en-US" w:eastAsia="zh-CN" w:bidi="ar-SA"/>
        </w:rPr>
        <w:t>红碱淖山水林田湖草沙</w:t>
      </w:r>
      <w:r>
        <w:rPr>
          <w:rFonts w:hint="eastAsia" w:cs="Times New Roman"/>
          <w:sz w:val="32"/>
          <w:szCs w:val="32"/>
          <w:lang w:val="en-US" w:eastAsia="zh-CN" w:bidi="ar-SA"/>
        </w:rPr>
        <w:t>系统</w:t>
      </w:r>
      <w:r>
        <w:rPr>
          <w:rFonts w:hint="eastAsia" w:ascii="Times New Roman" w:hAnsi="Times New Roman" w:eastAsia="仿宋_GB2312" w:cs="Times New Roman"/>
          <w:sz w:val="32"/>
          <w:szCs w:val="32"/>
          <w:lang w:val="en-US" w:eastAsia="zh-CN" w:bidi="ar-SA"/>
        </w:rPr>
        <w:t>治理</w:t>
      </w:r>
      <w:r>
        <w:rPr>
          <w:rFonts w:hint="eastAsia" w:cs="Times New Roman"/>
          <w:sz w:val="32"/>
          <w:szCs w:val="32"/>
          <w:lang w:val="en-US" w:eastAsia="zh-CN" w:bidi="ar-SA"/>
        </w:rPr>
        <w:t>示范</w:t>
      </w:r>
      <w:r>
        <w:rPr>
          <w:rFonts w:hint="eastAsia" w:ascii="Times New Roman" w:hAnsi="Times New Roman" w:eastAsia="仿宋_GB2312" w:cs="Times New Roman"/>
          <w:sz w:val="32"/>
          <w:szCs w:val="32"/>
          <w:lang w:val="en-US" w:eastAsia="zh-CN" w:bidi="ar-SA"/>
        </w:rPr>
        <w:t xml:space="preserve">。 </w:t>
      </w:r>
    </w:p>
    <w:p>
      <w:pPr>
        <w:pStyle w:val="10"/>
        <w:keepNext w:val="0"/>
        <w:keepLines w:val="0"/>
        <w:pageBreakBefore w:val="0"/>
        <w:widowControl w:val="0"/>
        <w:kinsoku/>
        <w:wordWrap/>
        <w:overflowPunct/>
        <w:topLinePunct w:val="0"/>
        <w:autoSpaceDE/>
        <w:autoSpaceDN/>
        <w:bidi w:val="0"/>
        <w:spacing w:line="560" w:lineRule="exact"/>
        <w:textAlignment w:val="auto"/>
      </w:pPr>
      <w:r>
        <w:rPr>
          <w:rFonts w:eastAsia="楷体" w:cs="Times New Roman"/>
          <w:b/>
          <w:bCs/>
          <w:sz w:val="32"/>
          <w:szCs w:val="32"/>
        </w:rPr>
        <w:t>——西部地区县域治理水平现代化先行区。</w:t>
      </w:r>
      <w:r>
        <w:rPr>
          <w:rFonts w:cs="Times New Roman"/>
          <w:sz w:val="32"/>
          <w:szCs w:val="32"/>
        </w:rPr>
        <w:t>巩固和发展基础治理优势，不断提升政府</w:t>
      </w:r>
      <w:r>
        <w:rPr>
          <w:rFonts w:hint="eastAsia" w:cs="Times New Roman"/>
          <w:sz w:val="32"/>
          <w:szCs w:val="32"/>
          <w:lang w:val="en-US" w:eastAsia="zh-CN"/>
        </w:rPr>
        <w:t>对</w:t>
      </w:r>
      <w:r>
        <w:rPr>
          <w:rFonts w:cs="Times New Roman"/>
          <w:sz w:val="32"/>
          <w:szCs w:val="32"/>
        </w:rPr>
        <w:t>经济、社会</w:t>
      </w:r>
      <w:r>
        <w:rPr>
          <w:rFonts w:hint="eastAsia" w:cs="Times New Roman"/>
          <w:sz w:val="32"/>
          <w:szCs w:val="32"/>
          <w:lang w:eastAsia="zh-CN"/>
        </w:rPr>
        <w:t>、</w:t>
      </w:r>
      <w:r>
        <w:rPr>
          <w:rFonts w:hint="eastAsia" w:cs="Times New Roman"/>
          <w:sz w:val="32"/>
          <w:szCs w:val="32"/>
          <w:lang w:val="en-US" w:eastAsia="zh-CN"/>
        </w:rPr>
        <w:t>生态等方面的</w:t>
      </w:r>
      <w:r>
        <w:rPr>
          <w:rFonts w:cs="Times New Roman"/>
          <w:sz w:val="32"/>
          <w:szCs w:val="32"/>
        </w:rPr>
        <w:t>治理能力和水平，积极培育多元社会治理</w:t>
      </w:r>
      <w:r>
        <w:rPr>
          <w:rFonts w:hint="eastAsia" w:cs="Times New Roman"/>
          <w:sz w:val="32"/>
          <w:szCs w:val="32"/>
          <w:lang w:val="en-US" w:eastAsia="zh-CN"/>
        </w:rPr>
        <w:t>模式</w:t>
      </w:r>
      <w:r>
        <w:rPr>
          <w:rFonts w:cs="Times New Roman"/>
          <w:sz w:val="32"/>
          <w:szCs w:val="32"/>
        </w:rPr>
        <w:t>，深度探索</w:t>
      </w:r>
      <w:r>
        <w:rPr>
          <w:rFonts w:hint="eastAsia" w:cs="Times New Roman"/>
          <w:sz w:val="32"/>
          <w:szCs w:val="32"/>
          <w:lang w:val="en-US" w:eastAsia="zh-CN"/>
        </w:rPr>
        <w:t>建立德治、法治、自治相结合，</w:t>
      </w:r>
      <w:r>
        <w:rPr>
          <w:rFonts w:cs="Times New Roman"/>
          <w:sz w:val="32"/>
          <w:szCs w:val="32"/>
        </w:rPr>
        <w:t>数字化、网格化</w:t>
      </w:r>
      <w:r>
        <w:rPr>
          <w:rFonts w:hint="eastAsia" w:cs="Times New Roman"/>
          <w:sz w:val="32"/>
          <w:szCs w:val="32"/>
          <w:lang w:eastAsia="zh-CN"/>
        </w:rPr>
        <w:t>、</w:t>
      </w:r>
      <w:r>
        <w:rPr>
          <w:rFonts w:hint="eastAsia" w:cs="Times New Roman"/>
          <w:sz w:val="32"/>
          <w:szCs w:val="32"/>
          <w:lang w:val="en-US" w:eastAsia="zh-CN"/>
        </w:rPr>
        <w:t>协同化相同步的</w:t>
      </w:r>
      <w:r>
        <w:rPr>
          <w:rFonts w:cs="Times New Roman"/>
          <w:sz w:val="32"/>
          <w:szCs w:val="32"/>
        </w:rPr>
        <w:t>现代社会治理</w:t>
      </w:r>
      <w:r>
        <w:rPr>
          <w:rFonts w:hint="eastAsia" w:cs="Times New Roman"/>
          <w:sz w:val="32"/>
          <w:szCs w:val="32"/>
          <w:lang w:val="en-US" w:eastAsia="zh-CN"/>
        </w:rPr>
        <w:t>体系</w:t>
      </w:r>
      <w:r>
        <w:rPr>
          <w:rFonts w:cs="Times New Roman"/>
          <w:sz w:val="32"/>
          <w:szCs w:val="32"/>
        </w:rPr>
        <w:t>，在西部地区率先实现县域治理</w:t>
      </w:r>
      <w:r>
        <w:rPr>
          <w:rFonts w:hint="eastAsia" w:cs="Times New Roman"/>
          <w:sz w:val="32"/>
          <w:szCs w:val="32"/>
          <w:lang w:eastAsia="zh-CN"/>
        </w:rPr>
        <w:t>能力</w:t>
      </w:r>
      <w:r>
        <w:rPr>
          <w:rFonts w:cs="Times New Roman"/>
          <w:sz w:val="32"/>
          <w:szCs w:val="32"/>
        </w:rPr>
        <w:t>现代化。</w:t>
      </w:r>
    </w:p>
    <w:p>
      <w:pPr>
        <w:keepNext w:val="0"/>
        <w:keepLines w:val="0"/>
        <w:pageBreakBefore w:val="0"/>
        <w:widowControl w:val="0"/>
        <w:kinsoku/>
        <w:wordWrap/>
        <w:overflowPunct/>
        <w:topLinePunct w:val="0"/>
        <w:autoSpaceDE/>
        <w:autoSpaceDN/>
        <w:bidi w:val="0"/>
        <w:adjustRightInd/>
        <w:snapToGrid/>
        <w:spacing w:line="560" w:lineRule="exact"/>
        <w:ind w:firstLine="643"/>
        <w:jc w:val="both"/>
        <w:textAlignment w:val="auto"/>
        <w:rPr>
          <w:rFonts w:cs="Times New Roman"/>
          <w:sz w:val="32"/>
          <w:szCs w:val="32"/>
        </w:rPr>
      </w:pPr>
      <w:r>
        <w:rPr>
          <w:rFonts w:eastAsia="楷体" w:cs="Times New Roman"/>
          <w:b/>
          <w:bCs/>
          <w:sz w:val="32"/>
          <w:szCs w:val="32"/>
        </w:rPr>
        <w:t>——</w:t>
      </w:r>
      <w:r>
        <w:rPr>
          <w:rFonts w:hint="eastAsia" w:eastAsia="楷体" w:cs="Times New Roman"/>
          <w:b/>
          <w:bCs/>
          <w:sz w:val="32"/>
          <w:szCs w:val="32"/>
        </w:rPr>
        <w:t>宜居宜业</w:t>
      </w:r>
      <w:r>
        <w:rPr>
          <w:rFonts w:hint="eastAsia" w:eastAsia="楷体" w:cs="Times New Roman"/>
          <w:b/>
          <w:bCs/>
          <w:sz w:val="32"/>
          <w:szCs w:val="32"/>
          <w:lang w:val="en-US" w:eastAsia="zh-CN"/>
        </w:rPr>
        <w:t>宜游的精致</w:t>
      </w:r>
      <w:r>
        <w:rPr>
          <w:rFonts w:eastAsia="楷体" w:cs="Times New Roman"/>
          <w:b/>
          <w:bCs/>
          <w:sz w:val="32"/>
          <w:szCs w:val="32"/>
        </w:rPr>
        <w:t>幸福</w:t>
      </w:r>
      <w:r>
        <w:rPr>
          <w:rFonts w:hint="eastAsia" w:eastAsia="楷体" w:cs="Times New Roman"/>
          <w:b/>
          <w:bCs/>
          <w:sz w:val="32"/>
          <w:szCs w:val="32"/>
        </w:rPr>
        <w:t>家园</w:t>
      </w:r>
      <w:r>
        <w:rPr>
          <w:rFonts w:eastAsia="楷体" w:cs="Times New Roman"/>
          <w:b/>
          <w:bCs/>
          <w:sz w:val="32"/>
          <w:szCs w:val="32"/>
        </w:rPr>
        <w:t>。</w:t>
      </w:r>
      <w:r>
        <w:rPr>
          <w:rFonts w:cs="Times New Roman"/>
          <w:sz w:val="32"/>
          <w:szCs w:val="32"/>
        </w:rPr>
        <w:t>始终坚持以人为核心的城镇化，着力推进“产城人”融合发展，用精致理念统领</w:t>
      </w:r>
      <w:r>
        <w:rPr>
          <w:rFonts w:hint="eastAsia" w:cs="Times New Roman"/>
          <w:sz w:val="32"/>
          <w:szCs w:val="32"/>
          <w:lang w:val="en-US" w:eastAsia="zh-CN"/>
        </w:rPr>
        <w:t>城市规划建设。</w:t>
      </w:r>
      <w:r>
        <w:rPr>
          <w:rFonts w:cs="Times New Roman"/>
          <w:sz w:val="32"/>
          <w:szCs w:val="32"/>
        </w:rPr>
        <w:t>全面释放“人文风情浓郁、产业</w:t>
      </w:r>
      <w:r>
        <w:rPr>
          <w:rFonts w:hint="eastAsia" w:cs="Times New Roman"/>
          <w:sz w:val="32"/>
          <w:szCs w:val="32"/>
        </w:rPr>
        <w:t>特色突出</w:t>
      </w:r>
      <w:r>
        <w:rPr>
          <w:rFonts w:cs="Times New Roman"/>
          <w:sz w:val="32"/>
          <w:szCs w:val="32"/>
        </w:rPr>
        <w:t>、民生保障稳固”优势，</w:t>
      </w:r>
      <w:r>
        <w:rPr>
          <w:rFonts w:hint="eastAsia" w:cs="Times New Roman"/>
          <w:sz w:val="32"/>
          <w:szCs w:val="32"/>
          <w:lang w:val="en-US" w:eastAsia="zh-CN"/>
        </w:rPr>
        <w:t>打造经济富裕、环境优美、管理智慧、公共安全的</w:t>
      </w:r>
      <w:r>
        <w:rPr>
          <w:rFonts w:cs="Times New Roman"/>
          <w:sz w:val="32"/>
          <w:szCs w:val="32"/>
        </w:rPr>
        <w:t>宜居</w:t>
      </w:r>
      <w:r>
        <w:rPr>
          <w:rFonts w:hint="eastAsia" w:cs="Times New Roman"/>
          <w:sz w:val="32"/>
          <w:szCs w:val="32"/>
          <w:lang w:val="en-US" w:eastAsia="zh-CN"/>
        </w:rPr>
        <w:t>宜业宜游</w:t>
      </w:r>
      <w:r>
        <w:rPr>
          <w:rFonts w:cs="Times New Roman"/>
          <w:sz w:val="32"/>
          <w:szCs w:val="32"/>
        </w:rPr>
        <w:t>、更有活力、更具魅力的精致</w:t>
      </w:r>
      <w:r>
        <w:rPr>
          <w:rFonts w:hint="eastAsia" w:cs="Times New Roman"/>
          <w:sz w:val="32"/>
          <w:szCs w:val="32"/>
          <w:lang w:val="en-US" w:eastAsia="zh-CN"/>
        </w:rPr>
        <w:t>幸福</w:t>
      </w:r>
      <w:r>
        <w:rPr>
          <w:rFonts w:cs="Times New Roman"/>
          <w:sz w:val="32"/>
          <w:szCs w:val="32"/>
        </w:rPr>
        <w:t>名城。</w:t>
      </w:r>
    </w:p>
    <w:p>
      <w:pPr>
        <w:pStyle w:val="10"/>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cs="仿宋_GB2312"/>
          <w:sz w:val="32"/>
          <w:szCs w:val="32"/>
          <w:lang w:val="en-US" w:eastAsia="zh-CN"/>
        </w:rPr>
      </w:pPr>
      <w:r>
        <w:rPr>
          <w:rFonts w:eastAsia="楷体" w:cs="Times New Roman"/>
          <w:b/>
          <w:bCs/>
          <w:sz w:val="32"/>
          <w:szCs w:val="32"/>
        </w:rPr>
        <w:t>——</w:t>
      </w:r>
      <w:r>
        <w:rPr>
          <w:rFonts w:hint="eastAsia" w:eastAsia="楷体" w:cs="Times New Roman"/>
          <w:b/>
          <w:bCs/>
          <w:sz w:val="32"/>
          <w:szCs w:val="32"/>
          <w:lang w:eastAsia="zh-CN"/>
        </w:rPr>
        <w:t>传承弘扬中华文明的精神家园</w:t>
      </w:r>
      <w:r>
        <w:rPr>
          <w:rFonts w:eastAsia="楷体" w:cs="Times New Roman"/>
          <w:b/>
          <w:bCs/>
          <w:sz w:val="32"/>
          <w:szCs w:val="32"/>
        </w:rPr>
        <w:t>。</w:t>
      </w:r>
      <w:r>
        <w:rPr>
          <w:rFonts w:hint="eastAsia" w:ascii="仿宋_GB2312" w:hAnsi="仿宋_GB2312" w:cs="仿宋_GB2312"/>
          <w:sz w:val="32"/>
          <w:szCs w:val="32"/>
          <w:lang w:val="en-US" w:eastAsia="zh-CN"/>
        </w:rPr>
        <w:t>依托</w:t>
      </w:r>
      <w:r>
        <w:rPr>
          <w:rFonts w:hint="eastAsia" w:ascii="仿宋_GB2312" w:hAnsi="仿宋_GB2312" w:eastAsia="仿宋_GB2312" w:cs="仿宋_GB2312"/>
          <w:sz w:val="32"/>
          <w:szCs w:val="32"/>
          <w:lang w:val="en-US" w:eastAsia="zh-CN"/>
        </w:rPr>
        <w:t>石峁遗址</w:t>
      </w:r>
      <w:r>
        <w:rPr>
          <w:rFonts w:hint="eastAsia" w:ascii="仿宋_GB2312" w:hAnsi="仿宋_GB2312" w:cs="仿宋_GB2312"/>
          <w:sz w:val="32"/>
          <w:szCs w:val="32"/>
          <w:lang w:val="en-US" w:eastAsia="zh-CN"/>
        </w:rPr>
        <w:t>、长城、黄河、杨家城、二郎山、红碱淖等重要文化载体，深入研究阐发神木史前文化和特色文化，做好新时代“忠勇、创新、包容、共享”神木精神挖掘探索和继承创新，共筑传承弘扬中华文明的</w:t>
      </w:r>
      <w:r>
        <w:rPr>
          <w:rFonts w:hint="eastAsia" w:ascii="仿宋_GB2312" w:hAnsi="仿宋_GB2312" w:eastAsia="仿宋_GB2312" w:cs="仿宋_GB2312"/>
          <w:sz w:val="32"/>
          <w:szCs w:val="32"/>
          <w:lang w:val="en-US" w:eastAsia="zh-CN"/>
        </w:rPr>
        <w:t>精神家园。</w:t>
      </w:r>
    </w:p>
    <w:p>
      <w:pPr>
        <w:pStyle w:val="44"/>
        <w:keepNext w:val="0"/>
        <w:keepLines w:val="0"/>
        <w:pageBreakBefore w:val="0"/>
        <w:kinsoku/>
        <w:wordWrap/>
        <w:overflowPunct/>
        <w:topLinePunct w:val="0"/>
        <w:autoSpaceDE/>
        <w:autoSpaceDN/>
        <w:bidi w:val="0"/>
        <w:adjustRightInd/>
        <w:snapToGrid/>
        <w:spacing w:before="156" w:beforeLines="50" w:after="156" w:afterLines="50" w:line="580" w:lineRule="exact"/>
        <w:ind w:firstLine="0" w:firstLineChars="0"/>
        <w:jc w:val="center"/>
        <w:textAlignment w:val="auto"/>
        <w:outlineLvl w:val="1"/>
        <w:rPr>
          <w:rFonts w:hint="eastAsia" w:ascii="楷体_GB2312" w:hAnsi="楷体_GB2312" w:eastAsia="楷体_GB2312" w:cs="楷体_GB2312"/>
          <w:bCs/>
          <w:sz w:val="32"/>
          <w:szCs w:val="32"/>
        </w:rPr>
      </w:pPr>
      <w:bookmarkStart w:id="8" w:name="_Toc18440"/>
      <w:r>
        <w:rPr>
          <w:rFonts w:hint="eastAsia" w:ascii="楷体_GB2312" w:hAnsi="楷体_GB2312" w:eastAsia="楷体_GB2312" w:cs="楷体_GB2312"/>
          <w:bCs/>
          <w:sz w:val="32"/>
          <w:szCs w:val="32"/>
        </w:rPr>
        <w:t>第四节 规划目标</w:t>
      </w:r>
      <w:bookmarkEnd w:id="8"/>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cs="Times New Roman"/>
          <w:sz w:val="32"/>
          <w:szCs w:val="32"/>
        </w:rPr>
      </w:pPr>
      <w:r>
        <w:rPr>
          <w:rFonts w:cs="Times New Roman"/>
          <w:sz w:val="32"/>
          <w:szCs w:val="32"/>
        </w:rPr>
        <w:t>综合研判国内外</w:t>
      </w:r>
      <w:r>
        <w:rPr>
          <w:rFonts w:hint="eastAsia" w:cs="Times New Roman"/>
          <w:sz w:val="32"/>
          <w:szCs w:val="32"/>
          <w:lang w:eastAsia="zh-CN"/>
        </w:rPr>
        <w:t>、</w:t>
      </w:r>
      <w:r>
        <w:rPr>
          <w:rFonts w:cs="Times New Roman"/>
          <w:sz w:val="32"/>
          <w:szCs w:val="32"/>
        </w:rPr>
        <w:t>省市发展趋势，结合2035年基本实现社会主义现代化</w:t>
      </w:r>
      <w:r>
        <w:rPr>
          <w:rFonts w:hint="eastAsia" w:cs="Times New Roman"/>
          <w:sz w:val="32"/>
          <w:szCs w:val="32"/>
          <w:lang w:eastAsia="zh-CN"/>
        </w:rPr>
        <w:t>和“推动高质量发展、创造高品质生活、实现高效能治理”目标任务</w:t>
      </w:r>
      <w:r>
        <w:rPr>
          <w:rFonts w:cs="Times New Roman"/>
          <w:sz w:val="32"/>
          <w:szCs w:val="32"/>
        </w:rPr>
        <w:t>，根据我市经济社会发展实际，坚持目标和问题导向相结合，坚持守正和创新相统一，对2025年、2035年提出如下奋斗目标。</w:t>
      </w:r>
    </w:p>
    <w:p>
      <w:pPr>
        <w:keepNext w:val="0"/>
        <w:keepLines w:val="0"/>
        <w:pageBreakBefore w:val="0"/>
        <w:widowControl/>
        <w:suppressLineNumbers w:val="0"/>
        <w:kinsoku/>
        <w:wordWrap/>
        <w:overflowPunct/>
        <w:topLinePunct w:val="0"/>
        <w:autoSpaceDE/>
        <w:autoSpaceDN/>
        <w:bidi w:val="0"/>
        <w:spacing w:line="560" w:lineRule="exact"/>
        <w:jc w:val="both"/>
        <w:textAlignment w:val="auto"/>
        <w:rPr>
          <w:rFonts w:hint="eastAsia" w:ascii="仿宋_GB2312" w:hAnsi="仿宋_GB2312" w:eastAsia="仿宋_GB2312" w:cs="仿宋_GB2312"/>
          <w:color w:val="000000"/>
          <w:kern w:val="0"/>
          <w:sz w:val="31"/>
          <w:szCs w:val="31"/>
          <w:lang w:val="en-US" w:eastAsia="zh-CN" w:bidi="ar"/>
        </w:rPr>
      </w:pPr>
      <w:r>
        <w:rPr>
          <w:rFonts w:eastAsia="楷体_GB2312" w:cs="Times New Roman"/>
          <w:b/>
          <w:bCs/>
          <w:sz w:val="32"/>
          <w:szCs w:val="32"/>
        </w:rPr>
        <w:t>2025年近期目标：</w:t>
      </w:r>
      <w:r>
        <w:rPr>
          <w:rFonts w:ascii="仿宋_GB2312" w:hAnsi="仿宋_GB2312" w:eastAsia="仿宋_GB2312" w:cs="仿宋_GB2312"/>
          <w:color w:val="000000"/>
          <w:kern w:val="0"/>
          <w:sz w:val="31"/>
          <w:szCs w:val="31"/>
          <w:lang w:val="en-US" w:eastAsia="zh-CN" w:bidi="ar"/>
        </w:rPr>
        <w:t>高质量发展迈出更大步伐，</w:t>
      </w:r>
      <w:r>
        <w:rPr>
          <w:rFonts w:cs="Times New Roman"/>
          <w:sz w:val="32"/>
          <w:szCs w:val="32"/>
        </w:rPr>
        <w:t>创新驱动能力</w:t>
      </w:r>
      <w:r>
        <w:rPr>
          <w:rFonts w:hint="eastAsia" w:cs="Times New Roman"/>
          <w:sz w:val="32"/>
          <w:szCs w:val="32"/>
          <w:lang w:val="en-US" w:eastAsia="zh-CN"/>
        </w:rPr>
        <w:t>不断加强，能源化工</w:t>
      </w:r>
      <w:r>
        <w:rPr>
          <w:rFonts w:cs="Times New Roman"/>
          <w:sz w:val="32"/>
          <w:szCs w:val="32"/>
        </w:rPr>
        <w:t>基础产业高级化</w:t>
      </w:r>
      <w:r>
        <w:rPr>
          <w:rFonts w:hint="eastAsia" w:cs="Times New Roman"/>
          <w:sz w:val="32"/>
          <w:szCs w:val="32"/>
          <w:lang w:eastAsia="zh-CN"/>
        </w:rPr>
        <w:t>、</w:t>
      </w:r>
      <w:r>
        <w:rPr>
          <w:rFonts w:cs="Times New Roman"/>
          <w:sz w:val="32"/>
          <w:szCs w:val="32"/>
        </w:rPr>
        <w:t>产业链现代化水平明显提高，经济保持中高速增长</w:t>
      </w:r>
      <w:r>
        <w:rPr>
          <w:rFonts w:hint="eastAsia" w:cs="Times New Roman"/>
          <w:sz w:val="32"/>
          <w:szCs w:val="32"/>
          <w:lang w:eastAsia="zh-CN"/>
        </w:rPr>
        <w:t>，</w:t>
      </w:r>
      <w:r>
        <w:rPr>
          <w:rFonts w:cs="Times New Roman"/>
          <w:sz w:val="32"/>
          <w:szCs w:val="32"/>
        </w:rPr>
        <w:t>市民素质和社会文明程度显著提高，</w:t>
      </w:r>
      <w:r>
        <w:rPr>
          <w:rFonts w:ascii="仿宋_GB2312" w:hAnsi="仿宋_GB2312" w:eastAsia="仿宋_GB2312" w:cs="仿宋_GB2312"/>
          <w:color w:val="000000"/>
          <w:kern w:val="0"/>
          <w:sz w:val="31"/>
          <w:szCs w:val="31"/>
          <w:lang w:val="en-US" w:eastAsia="zh-CN" w:bidi="ar"/>
        </w:rPr>
        <w:t>改革开放取得重要突破，</w:t>
      </w:r>
      <w:r>
        <w:rPr>
          <w:rFonts w:hint="eastAsia" w:ascii="仿宋_GB2312" w:hAnsi="仿宋_GB2312" w:cs="仿宋_GB2312"/>
          <w:color w:val="000000"/>
          <w:kern w:val="0"/>
          <w:sz w:val="31"/>
          <w:szCs w:val="31"/>
          <w:lang w:val="en-US" w:eastAsia="zh-CN" w:bidi="ar"/>
        </w:rPr>
        <w:t>人文环境、</w:t>
      </w:r>
      <w:r>
        <w:rPr>
          <w:rFonts w:ascii="仿宋_GB2312" w:hAnsi="仿宋_GB2312" w:eastAsia="仿宋_GB2312" w:cs="仿宋_GB2312"/>
          <w:color w:val="000000"/>
          <w:kern w:val="0"/>
          <w:sz w:val="31"/>
          <w:szCs w:val="31"/>
          <w:lang w:val="en-US" w:eastAsia="zh-CN" w:bidi="ar"/>
        </w:rPr>
        <w:t>生态环境、营商环境</w:t>
      </w:r>
      <w:r>
        <w:rPr>
          <w:rFonts w:hint="eastAsia" w:ascii="仿宋_GB2312" w:hAnsi="仿宋_GB2312" w:eastAsia="仿宋_GB2312" w:cs="仿宋_GB2312"/>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创新环境大幅改善，</w:t>
      </w:r>
      <w:r>
        <w:rPr>
          <w:rFonts w:hint="eastAsia" w:ascii="仿宋_GB2312" w:hAnsi="仿宋_GB2312" w:cs="仿宋_GB2312"/>
          <w:color w:val="000000"/>
          <w:kern w:val="0"/>
          <w:sz w:val="31"/>
          <w:szCs w:val="31"/>
          <w:lang w:val="en-US" w:eastAsia="zh-CN" w:bidi="ar"/>
        </w:rPr>
        <w:t>基础设施支撑水平、民生优质化水平、</w:t>
      </w:r>
      <w:r>
        <w:rPr>
          <w:rFonts w:ascii="仿宋_GB2312" w:hAnsi="仿宋_GB2312" w:eastAsia="仿宋_GB2312" w:cs="仿宋_GB2312"/>
          <w:color w:val="000000"/>
          <w:kern w:val="0"/>
          <w:sz w:val="31"/>
          <w:szCs w:val="31"/>
          <w:lang w:val="en-US" w:eastAsia="zh-CN" w:bidi="ar"/>
        </w:rPr>
        <w:t>农业农村现代化水平</w:t>
      </w:r>
      <w:r>
        <w:rPr>
          <w:rFonts w:hint="eastAsia" w:ascii="仿宋_GB2312" w:hAnsi="仿宋_GB2312" w:cs="仿宋_GB2312"/>
          <w:color w:val="000000"/>
          <w:kern w:val="0"/>
          <w:sz w:val="31"/>
          <w:szCs w:val="31"/>
          <w:lang w:val="en-US" w:eastAsia="zh-CN" w:bidi="ar"/>
        </w:rPr>
        <w:t>、社会</w:t>
      </w:r>
      <w:r>
        <w:rPr>
          <w:rFonts w:hint="eastAsia" w:ascii="仿宋_GB2312" w:hAnsi="仿宋_GB2312" w:eastAsia="仿宋_GB2312" w:cs="仿宋_GB2312"/>
          <w:color w:val="000000"/>
          <w:kern w:val="0"/>
          <w:sz w:val="31"/>
          <w:szCs w:val="31"/>
          <w:lang w:val="en-US" w:eastAsia="zh-CN" w:bidi="ar"/>
        </w:rPr>
        <w:t>治理</w:t>
      </w:r>
      <w:r>
        <w:rPr>
          <w:rFonts w:hint="eastAsia" w:ascii="仿宋_GB2312" w:hAnsi="仿宋_GB2312" w:cs="仿宋_GB2312"/>
          <w:color w:val="000000"/>
          <w:kern w:val="0"/>
          <w:sz w:val="31"/>
          <w:szCs w:val="31"/>
          <w:lang w:val="en-US" w:eastAsia="zh-CN" w:bidi="ar"/>
        </w:rPr>
        <w:t>智慧</w:t>
      </w:r>
      <w:r>
        <w:rPr>
          <w:rFonts w:ascii="仿宋_GB2312" w:hAnsi="仿宋_GB2312" w:eastAsia="仿宋_GB2312" w:cs="仿宋_GB2312"/>
          <w:color w:val="000000"/>
          <w:kern w:val="0"/>
          <w:sz w:val="31"/>
          <w:szCs w:val="31"/>
          <w:lang w:val="en-US" w:eastAsia="zh-CN" w:bidi="ar"/>
        </w:rPr>
        <w:t>化水平实现全面提升</w:t>
      </w:r>
      <w:r>
        <w:rPr>
          <w:rFonts w:hint="eastAsia" w:ascii="仿宋_GB2312" w:hAnsi="仿宋_GB2312" w:cs="仿宋_GB2312"/>
          <w:color w:val="000000"/>
          <w:kern w:val="0"/>
          <w:sz w:val="31"/>
          <w:szCs w:val="31"/>
          <w:lang w:val="en-US" w:eastAsia="zh-CN" w:bidi="ar"/>
        </w:rPr>
        <w:t>，</w:t>
      </w:r>
      <w:r>
        <w:rPr>
          <w:rFonts w:cs="Times New Roman"/>
          <w:sz w:val="32"/>
          <w:szCs w:val="32"/>
        </w:rPr>
        <w:t>建成黄河</w:t>
      </w:r>
      <w:r>
        <w:rPr>
          <w:rFonts w:hint="eastAsia" w:cs="Times New Roman"/>
          <w:sz w:val="32"/>
          <w:szCs w:val="32"/>
          <w:lang w:eastAsia="zh-CN"/>
        </w:rPr>
        <w:t>“几”字弯</w:t>
      </w:r>
      <w:r>
        <w:rPr>
          <w:rFonts w:cs="Times New Roman"/>
          <w:sz w:val="32"/>
          <w:szCs w:val="32"/>
        </w:rPr>
        <w:t>城市群高质量发展示范市</w:t>
      </w:r>
      <w:r>
        <w:rPr>
          <w:rFonts w:hint="eastAsia"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cs="Times New Roman"/>
          <w:sz w:val="32"/>
          <w:szCs w:val="32"/>
        </w:rPr>
      </w:pPr>
      <w:r>
        <w:rPr>
          <w:rFonts w:eastAsia="楷体_GB2312" w:cs="Times New Roman"/>
          <w:b/>
          <w:bCs/>
          <w:sz w:val="32"/>
          <w:szCs w:val="32"/>
        </w:rPr>
        <w:t>2035年远景目标</w:t>
      </w:r>
      <w:r>
        <w:rPr>
          <w:rFonts w:hint="eastAsia" w:eastAsia="楷体_GB2312" w:cs="Times New Roman"/>
          <w:b/>
          <w:bCs/>
          <w:sz w:val="32"/>
          <w:szCs w:val="32"/>
          <w:lang w:eastAsia="zh-CN"/>
        </w:rPr>
        <w:t>：</w:t>
      </w:r>
      <w:r>
        <w:rPr>
          <w:rFonts w:cs="Times New Roman"/>
          <w:sz w:val="32"/>
          <w:szCs w:val="32"/>
        </w:rPr>
        <w:t>综合实力大幅提升，实现经济体系、治理体系和治理能力现代化，地区生产总值和城乡居民收入迈上新的大台阶，共同富裕取得更为明显的实质性进展，建成黄河</w:t>
      </w:r>
      <w:r>
        <w:rPr>
          <w:rFonts w:hint="eastAsia" w:cs="Times New Roman"/>
          <w:sz w:val="32"/>
          <w:szCs w:val="32"/>
          <w:lang w:eastAsia="zh-CN"/>
        </w:rPr>
        <w:t>流域</w:t>
      </w:r>
      <w:r>
        <w:rPr>
          <w:rFonts w:cs="Times New Roman"/>
          <w:sz w:val="32"/>
          <w:szCs w:val="32"/>
        </w:rPr>
        <w:t>高质量发展示范市，基本实现现代化。</w:t>
      </w:r>
    </w:p>
    <w:p>
      <w:pPr>
        <w:pStyle w:val="2"/>
      </w:pPr>
    </w:p>
    <w:tbl>
      <w:tblPr>
        <w:tblStyle w:val="24"/>
        <w:tblW w:w="501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59"/>
        <w:gridCol w:w="492"/>
        <w:gridCol w:w="3349"/>
        <w:gridCol w:w="1358"/>
        <w:gridCol w:w="931"/>
        <w:gridCol w:w="1156"/>
        <w:gridCol w:w="10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exact"/>
        </w:trPr>
        <w:tc>
          <w:tcPr>
            <w:tcW w:w="5000" w:type="pct"/>
            <w:gridSpan w:val="7"/>
            <w:tcBorders>
              <w:tl2br w:val="nil"/>
              <w:tr2bl w:val="nil"/>
            </w:tcBorders>
            <w:tcMar>
              <w:top w:w="10" w:type="dxa"/>
              <w:left w:w="10" w:type="dxa"/>
              <w:right w:w="10" w:type="dxa"/>
            </w:tcMar>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both"/>
              <w:textAlignment w:val="auto"/>
              <w:rPr>
                <w:rFonts w:hint="eastAsia" w:ascii="黑体" w:hAnsi="黑体" w:eastAsia="黑体" w:cs="黑体"/>
                <w:b w:val="0"/>
                <w:bCs w:val="0"/>
                <w:color w:val="000000"/>
                <w:spacing w:val="0"/>
                <w:sz w:val="21"/>
                <w:szCs w:val="21"/>
                <w:highlight w:val="none"/>
                <w:lang w:val="en-US" w:eastAsia="zh-CN" w:bidi="ar"/>
              </w:rPr>
            </w:pPr>
            <w:r>
              <w:rPr>
                <w:rFonts w:hint="eastAsia" w:ascii="黑体" w:hAnsi="黑体" w:eastAsia="黑体" w:cs="黑体"/>
                <w:b w:val="0"/>
                <w:bCs w:val="0"/>
                <w:color w:val="000000"/>
                <w:spacing w:val="0"/>
                <w:sz w:val="21"/>
                <w:szCs w:val="21"/>
                <w:highlight w:val="none"/>
                <w:lang w:val="en-US" w:eastAsia="zh-CN" w:bidi="ar"/>
              </w:rPr>
              <w:t xml:space="preserve">表2：  </w:t>
            </w:r>
            <w:r>
              <w:rPr>
                <w:rFonts w:hint="eastAsia" w:ascii="黑体" w:hAnsi="黑体" w:eastAsia="黑体" w:cs="黑体"/>
                <w:b/>
                <w:bCs/>
                <w:color w:val="000000"/>
                <w:spacing w:val="0"/>
                <w:sz w:val="21"/>
                <w:szCs w:val="21"/>
                <w:highlight w:val="none"/>
                <w:lang w:val="en-US" w:eastAsia="zh-CN" w:bidi="ar"/>
              </w:rPr>
              <w:t xml:space="preserve">                            </w:t>
            </w:r>
            <w:r>
              <w:rPr>
                <w:rFonts w:hint="eastAsia" w:ascii="黑体" w:hAnsi="黑体" w:eastAsia="黑体" w:cs="黑体"/>
                <w:b w:val="0"/>
                <w:bCs w:val="0"/>
                <w:color w:val="000000"/>
                <w:spacing w:val="0"/>
                <w:sz w:val="21"/>
                <w:szCs w:val="21"/>
                <w:highlight w:val="none"/>
                <w:lang w:val="en-US" w:eastAsia="zh-CN" w:bidi="ar"/>
              </w:rPr>
              <w:t xml:space="preserve"> 十四五规划指标体系</w:t>
            </w:r>
          </w:p>
          <w:p>
            <w:pPr>
              <w:keepNext w:val="0"/>
              <w:keepLines w:val="0"/>
              <w:pageBreakBefore w:val="0"/>
              <w:widowControl/>
              <w:kinsoku/>
              <w:wordWrap/>
              <w:overflowPunct/>
              <w:topLinePunct w:val="0"/>
              <w:autoSpaceDE/>
              <w:autoSpaceDN/>
              <w:bidi w:val="0"/>
              <w:spacing w:line="500" w:lineRule="exact"/>
              <w:ind w:firstLine="0" w:firstLineChars="0"/>
              <w:jc w:val="both"/>
              <w:textAlignment w:val="center"/>
              <w:rPr>
                <w:rFonts w:hint="eastAsia" w:ascii="宋体" w:hAnsi="宋体" w:eastAsia="宋体" w:cs="宋体"/>
                <w:spacing w:val="0"/>
                <w:kern w:val="0"/>
                <w:sz w:val="24"/>
                <w:szCs w:val="24"/>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exact"/>
        </w:trPr>
        <w:tc>
          <w:tcPr>
            <w:tcW w:w="316" w:type="pct"/>
            <w:tcBorders>
              <w:tl2br w:val="nil"/>
              <w:tr2bl w:val="nil"/>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类别</w:t>
            </w:r>
          </w:p>
        </w:tc>
        <w:tc>
          <w:tcPr>
            <w:tcW w:w="278" w:type="pct"/>
            <w:tcBorders>
              <w:tl2br w:val="nil"/>
              <w:tr2bl w:val="nil"/>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序号</w:t>
            </w:r>
          </w:p>
        </w:tc>
        <w:tc>
          <w:tcPr>
            <w:tcW w:w="1892" w:type="pct"/>
            <w:tcBorders>
              <w:tl2br w:val="nil"/>
              <w:tr2bl w:val="nil"/>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指标名称</w:t>
            </w:r>
          </w:p>
        </w:tc>
        <w:tc>
          <w:tcPr>
            <w:tcW w:w="767" w:type="pct"/>
            <w:tcBorders>
              <w:tl2br w:val="nil"/>
              <w:tr2bl w:val="nil"/>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2020年</w:t>
            </w:r>
          </w:p>
        </w:tc>
        <w:tc>
          <w:tcPr>
            <w:tcW w:w="526" w:type="pct"/>
            <w:tcBorders>
              <w:tl2br w:val="nil"/>
              <w:tr2bl w:val="nil"/>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2025年</w:t>
            </w:r>
          </w:p>
        </w:tc>
        <w:tc>
          <w:tcPr>
            <w:tcW w:w="653" w:type="pct"/>
            <w:tcBorders>
              <w:tl2br w:val="nil"/>
              <w:tr2bl w:val="nil"/>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bidi="ar"/>
              </w:rPr>
              <w:t>年均增速</w:t>
            </w:r>
            <w:r>
              <w:rPr>
                <w:rFonts w:hint="eastAsia" w:ascii="宋体" w:hAnsi="宋体" w:eastAsia="宋体" w:cs="宋体"/>
                <w:spacing w:val="0"/>
                <w:kern w:val="0"/>
                <w:sz w:val="18"/>
                <w:szCs w:val="18"/>
                <w:highlight w:val="none"/>
                <w:lang w:eastAsia="zh-CN" w:bidi="ar"/>
              </w:rPr>
              <w:t>（</w:t>
            </w:r>
            <w:r>
              <w:rPr>
                <w:rFonts w:hint="eastAsia" w:ascii="宋体" w:hAnsi="宋体" w:eastAsia="宋体" w:cs="宋体"/>
                <w:spacing w:val="0"/>
                <w:kern w:val="0"/>
                <w:sz w:val="18"/>
                <w:szCs w:val="18"/>
                <w:highlight w:val="none"/>
                <w:lang w:val="en-US" w:eastAsia="zh-CN" w:bidi="ar"/>
              </w:rPr>
              <w:t>%</w:t>
            </w:r>
            <w:r>
              <w:rPr>
                <w:rFonts w:hint="eastAsia" w:ascii="宋体" w:hAnsi="宋体" w:eastAsia="宋体" w:cs="宋体"/>
                <w:spacing w:val="0"/>
                <w:kern w:val="0"/>
                <w:sz w:val="18"/>
                <w:szCs w:val="18"/>
                <w:highlight w:val="none"/>
                <w:lang w:eastAsia="zh-CN" w:bidi="ar"/>
              </w:rPr>
              <w:t>）</w:t>
            </w:r>
          </w:p>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spacing w:line="5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属性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316" w:type="pct"/>
            <w:vMerge w:val="restar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经济</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发展</w:t>
            </w: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1</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地区生产总值（亿元）</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1294</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2000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6.5以上</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360"/>
              <w:jc w:val="center"/>
              <w:rPr>
                <w:rFonts w:hint="eastAsia" w:ascii="宋体" w:hAnsi="宋体" w:eastAsia="宋体" w:cs="宋体"/>
                <w:spacing w:val="0"/>
                <w:sz w:val="18"/>
                <w:szCs w:val="18"/>
                <w:highlight w:val="none"/>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val="en-US" w:eastAsia="zh-CN" w:bidi="ar"/>
              </w:rPr>
              <w:t>2</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全社会固定资产投资（亿元）</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[2126]</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[3000]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360"/>
              <w:jc w:val="center"/>
              <w:rPr>
                <w:rFonts w:hint="eastAsia" w:ascii="宋体" w:hAnsi="宋体" w:eastAsia="宋体" w:cs="宋体"/>
                <w:spacing w:val="0"/>
                <w:sz w:val="18"/>
                <w:szCs w:val="18"/>
                <w:highlight w:val="none"/>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val="en-US" w:eastAsia="zh-CN" w:bidi="ar"/>
              </w:rPr>
              <w:t>3</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社会消费品零售总额（亿元）</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94.11</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135</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7.5</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0"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360"/>
              <w:jc w:val="center"/>
              <w:rPr>
                <w:rFonts w:hint="eastAsia" w:ascii="宋体" w:hAnsi="宋体" w:eastAsia="宋体" w:cs="宋体"/>
                <w:spacing w:val="0"/>
                <w:sz w:val="18"/>
                <w:szCs w:val="18"/>
                <w:highlight w:val="none"/>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val="en-US" w:eastAsia="zh-CN" w:bidi="ar"/>
              </w:rPr>
              <w:t>4</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规上工业增加值年均增速（%）</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4.6</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360" w:firstLineChars="200"/>
              <w:jc w:val="both"/>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7</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7</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exact"/>
        </w:trPr>
        <w:tc>
          <w:tcPr>
            <w:tcW w:w="316" w:type="pct"/>
            <w:vMerge w:val="restar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创新</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kern w:val="0"/>
                <w:sz w:val="18"/>
                <w:szCs w:val="18"/>
                <w:highlight w:val="none"/>
                <w:lang w:val="en-US" w:eastAsia="zh-CN" w:bidi="ar"/>
              </w:rPr>
              <w:t>驱动</w:t>
            </w: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val="en-US" w:eastAsia="zh-CN" w:bidi="ar"/>
              </w:rPr>
              <w:t>5</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val="en-US" w:eastAsia="zh-CN" w:bidi="ar"/>
              </w:rPr>
              <w:t>研发经费</w:t>
            </w:r>
            <w:r>
              <w:rPr>
                <w:rFonts w:hint="eastAsia" w:ascii="宋体" w:hAnsi="宋体" w:eastAsia="宋体" w:cs="宋体"/>
                <w:spacing w:val="0"/>
                <w:kern w:val="0"/>
                <w:sz w:val="18"/>
                <w:szCs w:val="18"/>
                <w:highlight w:val="none"/>
                <w:lang w:bidi="ar"/>
              </w:rPr>
              <w:t>占GDP比重（%）</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0.10</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2</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0"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6</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每万人高价值发明专利拥有量</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1.64</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3.41</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360"/>
              <w:jc w:val="center"/>
              <w:rPr>
                <w:rFonts w:hint="eastAsia" w:ascii="宋体" w:hAnsi="宋体" w:eastAsia="宋体" w:cs="宋体"/>
                <w:spacing w:val="0"/>
                <w:sz w:val="18"/>
                <w:szCs w:val="18"/>
                <w:highlight w:val="none"/>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7</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战略性新兴产业增加值增速</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bidi="ar-SA"/>
              </w:rPr>
              <w:t>15</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10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exact"/>
        </w:trPr>
        <w:tc>
          <w:tcPr>
            <w:tcW w:w="316" w:type="pct"/>
            <w:vMerge w:val="restar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质量</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kern w:val="0"/>
                <w:sz w:val="18"/>
                <w:szCs w:val="18"/>
                <w:highlight w:val="none"/>
                <w:lang w:val="en-US" w:eastAsia="zh-CN" w:bidi="ar"/>
              </w:rPr>
              <w:t>效益</w:t>
            </w: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8</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全员劳动生产率（万元</w:t>
            </w:r>
            <w:r>
              <w:rPr>
                <w:rFonts w:hint="eastAsia" w:ascii="宋体" w:hAnsi="宋体" w:eastAsia="宋体" w:cs="宋体"/>
                <w:spacing w:val="0"/>
                <w:kern w:val="0"/>
                <w:sz w:val="18"/>
                <w:szCs w:val="18"/>
                <w:highlight w:val="none"/>
                <w:lang w:bidi="ar"/>
              </w:rPr>
              <w:t>/</w:t>
            </w:r>
            <w:r>
              <w:rPr>
                <w:rFonts w:hint="eastAsia" w:ascii="宋体" w:hAnsi="宋体" w:eastAsia="宋体" w:cs="宋体"/>
                <w:spacing w:val="0"/>
                <w:sz w:val="18"/>
                <w:szCs w:val="18"/>
                <w:highlight w:val="none"/>
                <w:lang w:val="en-US" w:eastAsia="zh-CN"/>
              </w:rPr>
              <w:t>人）</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15</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eastAsia="zh-CN"/>
              </w:rPr>
            </w:pPr>
            <w:r>
              <w:rPr>
                <w:rFonts w:hint="eastAsia" w:ascii="宋体" w:hAnsi="宋体" w:eastAsia="宋体" w:cs="宋体"/>
                <w:spacing w:val="0"/>
                <w:sz w:val="18"/>
                <w:szCs w:val="18"/>
                <w:highlight w:val="none"/>
                <w:lang w:eastAsia="zh-CN"/>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9</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kern w:val="0"/>
                <w:sz w:val="18"/>
                <w:szCs w:val="18"/>
                <w:highlight w:val="none"/>
                <w:lang w:eastAsia="zh-CN" w:bidi="ar"/>
              </w:rPr>
            </w:pPr>
            <w:r>
              <w:rPr>
                <w:rFonts w:hint="eastAsia" w:ascii="宋体" w:hAnsi="宋体" w:eastAsia="宋体" w:cs="宋体"/>
                <w:spacing w:val="0"/>
                <w:kern w:val="0"/>
                <w:sz w:val="18"/>
                <w:szCs w:val="18"/>
                <w:highlight w:val="none"/>
                <w:lang w:eastAsia="zh-CN" w:bidi="ar"/>
              </w:rPr>
              <w:t>财政总收入（亿元）</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301.49</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350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3</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val="en-US" w:eastAsia="zh-CN" w:bidi="ar"/>
              </w:rPr>
              <w:t>10</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地方财政收入（亿元）</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yellow"/>
                <w:lang w:val="en-US" w:eastAsia="zh-CN" w:bidi="ar-SA"/>
              </w:rPr>
            </w:pPr>
            <w:r>
              <w:rPr>
                <w:rFonts w:hint="eastAsia" w:ascii="宋体" w:hAnsi="宋体" w:eastAsia="宋体" w:cs="宋体"/>
                <w:spacing w:val="0"/>
                <w:sz w:val="18"/>
                <w:szCs w:val="18"/>
                <w:highlight w:val="none"/>
                <w:lang w:val="en-US" w:eastAsia="zh-CN"/>
              </w:rPr>
              <w:t>91.3</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yellow"/>
                <w:lang w:val="en-US" w:eastAsia="zh-CN" w:bidi="ar-SA"/>
              </w:rPr>
            </w:pPr>
            <w:r>
              <w:rPr>
                <w:rFonts w:hint="eastAsia" w:ascii="宋体" w:hAnsi="宋体" w:eastAsia="宋体" w:cs="宋体"/>
                <w:spacing w:val="0"/>
                <w:sz w:val="18"/>
                <w:szCs w:val="18"/>
                <w:highlight w:val="none"/>
                <w:lang w:val="en-US" w:eastAsia="zh-CN"/>
              </w:rPr>
              <w:t>100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yellow"/>
                <w:lang w:val="en-US" w:eastAsia="zh-CN" w:bidi="ar-SA"/>
              </w:rPr>
            </w:pPr>
            <w:r>
              <w:rPr>
                <w:rFonts w:hint="eastAsia" w:ascii="宋体" w:hAnsi="宋体" w:eastAsia="宋体" w:cs="宋体"/>
                <w:spacing w:val="0"/>
                <w:sz w:val="18"/>
                <w:szCs w:val="18"/>
                <w:highlight w:val="none"/>
                <w:lang w:val="en-US" w:eastAsia="zh-CN"/>
              </w:rPr>
              <w:t>2.1</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11</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eastAsia="zh-CN"/>
              </w:rPr>
            </w:pPr>
            <w:r>
              <w:rPr>
                <w:rFonts w:hint="eastAsia" w:ascii="宋体" w:hAnsi="宋体" w:eastAsia="宋体" w:cs="宋体"/>
                <w:spacing w:val="0"/>
                <w:kern w:val="0"/>
                <w:sz w:val="18"/>
                <w:szCs w:val="18"/>
                <w:highlight w:val="none"/>
                <w:lang w:val="en-US" w:eastAsia="zh-CN" w:bidi="ar"/>
              </w:rPr>
              <w:t>常住人口</w:t>
            </w:r>
            <w:r>
              <w:rPr>
                <w:rFonts w:hint="eastAsia" w:ascii="宋体" w:hAnsi="宋体" w:eastAsia="宋体" w:cs="宋体"/>
                <w:spacing w:val="0"/>
                <w:kern w:val="0"/>
                <w:sz w:val="18"/>
                <w:szCs w:val="18"/>
                <w:highlight w:val="none"/>
                <w:lang w:bidi="ar"/>
              </w:rPr>
              <w:t>城镇化率</w:t>
            </w:r>
            <w:r>
              <w:rPr>
                <w:rFonts w:hint="eastAsia" w:ascii="宋体" w:hAnsi="宋体" w:eastAsia="宋体" w:cs="宋体"/>
                <w:spacing w:val="0"/>
                <w:kern w:val="0"/>
                <w:sz w:val="18"/>
                <w:szCs w:val="18"/>
                <w:highlight w:val="none"/>
                <w:lang w:eastAsia="zh-CN" w:bidi="ar"/>
              </w:rPr>
              <w:t>（</w:t>
            </w:r>
            <w:r>
              <w:rPr>
                <w:rFonts w:hint="eastAsia" w:ascii="宋体" w:hAnsi="宋体" w:eastAsia="宋体" w:cs="宋体"/>
                <w:spacing w:val="0"/>
                <w:kern w:val="0"/>
                <w:sz w:val="18"/>
                <w:szCs w:val="18"/>
                <w:highlight w:val="none"/>
                <w:lang w:val="en-US" w:eastAsia="zh-CN" w:bidi="ar"/>
              </w:rPr>
              <w:t>%</w:t>
            </w:r>
            <w:r>
              <w:rPr>
                <w:rFonts w:hint="eastAsia" w:ascii="宋体" w:hAnsi="宋体" w:eastAsia="宋体" w:cs="宋体"/>
                <w:spacing w:val="0"/>
                <w:kern w:val="0"/>
                <w:sz w:val="18"/>
                <w:szCs w:val="18"/>
                <w:highlight w:val="none"/>
                <w:lang w:eastAsia="zh-CN" w:bidi="ar"/>
              </w:rPr>
              <w:t>）</w:t>
            </w:r>
          </w:p>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常住人口（%）</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70.4</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71.5</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316" w:type="pct"/>
            <w:vMerge w:val="restar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改革</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eastAsia="zh-CN"/>
              </w:rPr>
            </w:pPr>
            <w:r>
              <w:rPr>
                <w:rFonts w:hint="eastAsia" w:ascii="宋体" w:hAnsi="宋体" w:eastAsia="宋体" w:cs="宋体"/>
                <w:spacing w:val="0"/>
                <w:kern w:val="0"/>
                <w:sz w:val="18"/>
                <w:szCs w:val="18"/>
                <w:highlight w:val="none"/>
                <w:lang w:val="en-US" w:eastAsia="zh-CN" w:bidi="ar"/>
              </w:rPr>
              <w:t>开放</w:t>
            </w: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kern w:val="0"/>
                <w:sz w:val="18"/>
                <w:szCs w:val="18"/>
                <w:highlight w:val="none"/>
                <w:lang w:val="en-US" w:eastAsia="zh-CN" w:bidi="ar"/>
              </w:rPr>
              <w:t>12</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进出口贸易总额（亿元）</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bidi="ar-SA"/>
              </w:rPr>
              <w:t>4.7</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8</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13</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非公经济增加值占GDP比重（%）</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31.71</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35</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sz w:val="18"/>
                <w:szCs w:val="18"/>
                <w:highlight w:val="none"/>
                <w:lang w:val="en-US" w:eastAsia="zh-CN"/>
              </w:rPr>
              <w:t>14</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实有市场主体总量（万户）</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6.1</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10.8</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12</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316" w:type="pct"/>
            <w:vMerge w:val="restar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生态</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eastAsia="zh-CN"/>
              </w:rPr>
            </w:pPr>
            <w:r>
              <w:rPr>
                <w:rFonts w:hint="eastAsia" w:ascii="宋体" w:hAnsi="宋体" w:eastAsia="宋体" w:cs="宋体"/>
                <w:spacing w:val="0"/>
                <w:kern w:val="0"/>
                <w:sz w:val="18"/>
                <w:szCs w:val="18"/>
                <w:highlight w:val="none"/>
                <w:lang w:val="en-US" w:eastAsia="zh-CN" w:bidi="ar"/>
              </w:rPr>
              <w:t>环境</w:t>
            </w: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kern w:val="0"/>
                <w:sz w:val="18"/>
                <w:szCs w:val="18"/>
                <w:highlight w:val="none"/>
                <w:lang w:val="en-US" w:eastAsia="zh-CN" w:bidi="ar"/>
              </w:rPr>
              <w:t>15</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单位GDP能源消耗降低（%）*</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3.4</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[13.5]</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2.9</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16</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单位GDP二氧化碳排放降低（%）*</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4.1</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4.1</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17</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城市颗粒物（PM2.5）浓度降幅（%）</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7</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bidi="ar-SA"/>
              </w:rPr>
              <w:t>2</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18</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bidi="ar"/>
              </w:rPr>
              <w:t>好于Ⅲ类水体比例（%）</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66.7</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＞75</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19</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林木覆盖率（%）</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43.3</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45.8</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restar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民生</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福祉</w:t>
            </w: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20</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城镇登记失业率（%）</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3.4</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rPr>
              <w:t>3.2</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21</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kern w:val="0"/>
                <w:sz w:val="18"/>
                <w:szCs w:val="18"/>
                <w:highlight w:val="none"/>
                <w:lang w:eastAsia="zh-CN" w:bidi="ar"/>
              </w:rPr>
            </w:pPr>
            <w:r>
              <w:rPr>
                <w:rFonts w:hint="eastAsia" w:ascii="宋体" w:hAnsi="宋体" w:eastAsia="宋体" w:cs="宋体"/>
                <w:spacing w:val="0"/>
                <w:kern w:val="0"/>
                <w:sz w:val="18"/>
                <w:szCs w:val="18"/>
                <w:highlight w:val="none"/>
                <w:lang w:eastAsia="zh-CN" w:bidi="ar"/>
              </w:rPr>
              <w:t>城镇居民人均可支配收入（元）</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38868</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52000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6</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22</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eastAsia="zh-CN"/>
              </w:rPr>
            </w:pPr>
            <w:r>
              <w:rPr>
                <w:rFonts w:hint="eastAsia" w:ascii="宋体" w:hAnsi="宋体" w:eastAsia="宋体" w:cs="宋体"/>
                <w:spacing w:val="0"/>
                <w:kern w:val="0"/>
                <w:sz w:val="18"/>
                <w:szCs w:val="18"/>
                <w:highlight w:val="none"/>
                <w:lang w:eastAsia="zh-CN" w:bidi="ar"/>
              </w:rPr>
              <w:t>农村居民</w:t>
            </w:r>
            <w:r>
              <w:rPr>
                <w:rFonts w:hint="eastAsia" w:ascii="宋体" w:hAnsi="宋体" w:eastAsia="宋体" w:cs="宋体"/>
                <w:spacing w:val="0"/>
                <w:kern w:val="0"/>
                <w:sz w:val="18"/>
                <w:szCs w:val="18"/>
                <w:highlight w:val="none"/>
                <w:lang w:bidi="ar"/>
              </w:rPr>
              <w:t>人均可支配收入</w:t>
            </w:r>
            <w:r>
              <w:rPr>
                <w:rFonts w:hint="eastAsia" w:ascii="宋体" w:hAnsi="宋体" w:eastAsia="宋体" w:cs="宋体"/>
                <w:spacing w:val="0"/>
                <w:kern w:val="0"/>
                <w:sz w:val="18"/>
                <w:szCs w:val="18"/>
                <w:highlight w:val="none"/>
                <w:lang w:eastAsia="zh-CN" w:bidi="ar"/>
              </w:rPr>
              <w:t>（</w:t>
            </w:r>
            <w:r>
              <w:rPr>
                <w:rFonts w:hint="eastAsia" w:ascii="宋体" w:hAnsi="宋体" w:eastAsia="宋体" w:cs="宋体"/>
                <w:spacing w:val="0"/>
                <w:kern w:val="0"/>
                <w:sz w:val="18"/>
                <w:szCs w:val="18"/>
                <w:highlight w:val="none"/>
                <w:lang w:val="en-US" w:eastAsia="zh-CN" w:bidi="ar"/>
              </w:rPr>
              <w:t>元</w:t>
            </w:r>
            <w:r>
              <w:rPr>
                <w:rFonts w:hint="eastAsia" w:ascii="宋体" w:hAnsi="宋体" w:eastAsia="宋体" w:cs="宋体"/>
                <w:spacing w:val="0"/>
                <w:kern w:val="0"/>
                <w:sz w:val="18"/>
                <w:szCs w:val="18"/>
                <w:highlight w:val="none"/>
                <w:lang w:eastAsia="zh-CN" w:bidi="ar"/>
              </w:rPr>
              <w:t>）</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17235</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26000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7.5</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23</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基本养老保险参保人数（万人）</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22.2</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24.8</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24</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每千人拥有职业医师人数（人）</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3.65</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5</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kern w:val="0"/>
                <w:sz w:val="18"/>
                <w:szCs w:val="18"/>
                <w:highlight w:val="none"/>
                <w:lang w:val="en-US" w:eastAsia="zh-CN" w:bidi="ar"/>
              </w:rPr>
              <w:t>25</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rPr>
              <w:t>每千人拥有医疗床位数（张）</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5.94</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7</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kern w:val="0"/>
                <w:sz w:val="18"/>
                <w:szCs w:val="18"/>
                <w:highlight w:val="none"/>
                <w:lang w:val="en-US" w:eastAsia="zh-CN" w:bidi="ar"/>
              </w:rPr>
              <w:t>26</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注册志愿者人数占居民人口比例（%）</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11</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15</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sz w:val="18"/>
                <w:szCs w:val="18"/>
                <w:highlight w:val="none"/>
                <w:lang w:val="en-US" w:eastAsia="zh-CN" w:bidi="ar-SA"/>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316" w:type="pct"/>
            <w:vMerge w:val="restar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安全</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z w:val="18"/>
                <w:szCs w:val="18"/>
                <w:lang w:val="en-US" w:eastAsia="zh-CN"/>
              </w:rPr>
            </w:pPr>
            <w:r>
              <w:rPr>
                <w:rFonts w:hint="eastAsia" w:ascii="宋体" w:hAnsi="宋体" w:eastAsia="宋体" w:cs="宋体"/>
                <w:spacing w:val="0"/>
                <w:kern w:val="0"/>
                <w:sz w:val="18"/>
                <w:szCs w:val="18"/>
                <w:highlight w:val="none"/>
                <w:lang w:val="en-US" w:eastAsia="zh-CN" w:bidi="ar"/>
              </w:rPr>
              <w:t>稳定</w:t>
            </w: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27</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粮食综合生产能力（万吨）</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25</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30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约束性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exact"/>
        </w:trPr>
        <w:tc>
          <w:tcPr>
            <w:tcW w:w="316" w:type="pct"/>
            <w:vMerge w:val="continue"/>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360"/>
              <w:jc w:val="center"/>
              <w:rPr>
                <w:rFonts w:hint="eastAsia" w:ascii="宋体" w:hAnsi="宋体" w:eastAsia="宋体" w:cs="宋体"/>
                <w:spacing w:val="0"/>
                <w:sz w:val="18"/>
                <w:szCs w:val="18"/>
                <w:highlight w:val="none"/>
              </w:rPr>
            </w:pPr>
          </w:p>
        </w:tc>
        <w:tc>
          <w:tcPr>
            <w:tcW w:w="278"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default"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28</w:t>
            </w:r>
          </w:p>
        </w:tc>
        <w:tc>
          <w:tcPr>
            <w:tcW w:w="1892"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left"/>
              <w:textAlignment w:val="center"/>
              <w:rPr>
                <w:rFonts w:hint="eastAsia" w:ascii="宋体" w:hAnsi="宋体" w:eastAsia="宋体" w:cs="宋体"/>
                <w:spacing w:val="0"/>
                <w:kern w:val="0"/>
                <w:sz w:val="18"/>
                <w:szCs w:val="18"/>
                <w:highlight w:val="none"/>
                <w:lang w:val="en-US" w:eastAsia="zh-CN" w:bidi="ar"/>
              </w:rPr>
            </w:pPr>
            <w:r>
              <w:rPr>
                <w:rFonts w:hint="eastAsia" w:ascii="宋体" w:hAnsi="宋体" w:eastAsia="宋体" w:cs="宋体"/>
                <w:spacing w:val="0"/>
                <w:kern w:val="0"/>
                <w:sz w:val="18"/>
                <w:szCs w:val="18"/>
                <w:highlight w:val="none"/>
                <w:lang w:val="en-US" w:eastAsia="zh-CN" w:bidi="ar"/>
              </w:rPr>
              <w:t>能源生产总量（万吨标准煤）</w:t>
            </w:r>
          </w:p>
        </w:tc>
        <w:tc>
          <w:tcPr>
            <w:tcW w:w="767"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bidi="ar-SA"/>
              </w:rPr>
              <w:t>1721</w:t>
            </w:r>
          </w:p>
        </w:tc>
        <w:tc>
          <w:tcPr>
            <w:tcW w:w="526"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default" w:ascii="宋体" w:hAnsi="宋体" w:eastAsia="宋体" w:cs="宋体"/>
                <w:spacing w:val="0"/>
                <w:sz w:val="18"/>
                <w:szCs w:val="18"/>
                <w:highlight w:val="none"/>
                <w:lang w:val="en-US" w:eastAsia="zh-CN"/>
              </w:rPr>
            </w:pPr>
            <w:r>
              <w:rPr>
                <w:rFonts w:hint="eastAsia" w:ascii="宋体" w:hAnsi="宋体" w:eastAsia="宋体" w:cs="宋体"/>
                <w:spacing w:val="0"/>
                <w:sz w:val="18"/>
                <w:szCs w:val="18"/>
                <w:highlight w:val="none"/>
                <w:lang w:val="en-US" w:eastAsia="zh-CN"/>
              </w:rPr>
              <w:t>2000</w:t>
            </w:r>
          </w:p>
        </w:tc>
        <w:tc>
          <w:tcPr>
            <w:tcW w:w="653"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left="0" w:leftChars="0" w:firstLine="0" w:firstLineChars="0"/>
              <w:jc w:val="center"/>
              <w:rPr>
                <w:rFonts w:hint="eastAsia" w:ascii="宋体" w:hAnsi="宋体" w:eastAsia="宋体" w:cs="宋体"/>
                <w:spacing w:val="0"/>
                <w:sz w:val="18"/>
                <w:szCs w:val="18"/>
                <w:highlight w:val="none"/>
              </w:rPr>
            </w:pPr>
            <w:r>
              <w:rPr>
                <w:rFonts w:hint="eastAsia" w:ascii="宋体" w:hAnsi="宋体" w:eastAsia="宋体" w:cs="宋体"/>
                <w:spacing w:val="0"/>
                <w:sz w:val="18"/>
                <w:szCs w:val="18"/>
                <w:highlight w:val="none"/>
                <w:lang w:val="en-US" w:eastAsia="zh-CN" w:bidi="ar-SA"/>
              </w:rPr>
              <w:t>—</w:t>
            </w:r>
          </w:p>
        </w:tc>
        <w:tc>
          <w:tcPr>
            <w:tcW w:w="564" w:type="pct"/>
            <w:tcBorders>
              <w:tl2br w:val="nil"/>
              <w:tr2bl w:val="nil"/>
            </w:tcBorders>
            <w:tcMar>
              <w:top w:w="10" w:type="dxa"/>
              <w:left w:w="10" w:type="dxa"/>
              <w:right w:w="10" w:type="dxa"/>
            </w:tcMar>
            <w:vAlign w:val="center"/>
          </w:tcPr>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r>
              <w:rPr>
                <w:rFonts w:hint="eastAsia" w:ascii="宋体" w:hAnsi="宋体" w:eastAsia="宋体" w:cs="宋体"/>
                <w:spacing w:val="0"/>
                <w:kern w:val="0"/>
                <w:sz w:val="18"/>
                <w:szCs w:val="18"/>
                <w:highlight w:val="none"/>
                <w:lang w:bidi="ar"/>
              </w:rPr>
              <w:t>预期性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4" w:hRule="exact"/>
        </w:trPr>
        <w:tc>
          <w:tcPr>
            <w:tcW w:w="5000" w:type="pct"/>
            <w:gridSpan w:val="7"/>
            <w:tcBorders>
              <w:tl2br w:val="nil"/>
              <w:tr2bl w:val="nil"/>
            </w:tcBorders>
            <w:tcMar>
              <w:top w:w="10" w:type="dxa"/>
              <w:left w:w="10" w:type="dxa"/>
              <w:right w:w="10" w:type="dxa"/>
            </w:tcMar>
            <w:vAlign w:val="center"/>
          </w:tcPr>
          <w:p>
            <w:pPr>
              <w:pStyle w:val="10"/>
              <w:keepNext w:val="0"/>
              <w:keepLines w:val="0"/>
              <w:pageBreakBefore w:val="0"/>
              <w:widowControl w:val="0"/>
              <w:kinsoku/>
              <w:wordWrap/>
              <w:overflowPunct/>
              <w:topLinePunct w:val="0"/>
              <w:bidi w:val="0"/>
              <w:spacing w:line="300" w:lineRule="exact"/>
              <w:ind w:firstLine="0" w:firstLineChars="0"/>
              <w:rPr>
                <w:rFonts w:hint="eastAsia" w:ascii="宋体" w:hAnsi="宋体" w:eastAsia="宋体" w:cs="宋体"/>
                <w:spacing w:val="0"/>
                <w:sz w:val="18"/>
                <w:szCs w:val="18"/>
                <w:highlight w:val="none"/>
                <w:lang w:bidi="ar"/>
              </w:rPr>
            </w:pPr>
            <w:r>
              <w:rPr>
                <w:rFonts w:hint="eastAsia" w:ascii="宋体" w:hAnsi="宋体" w:eastAsia="宋体" w:cs="宋体"/>
                <w:spacing w:val="0"/>
                <w:sz w:val="18"/>
                <w:szCs w:val="18"/>
                <w:highlight w:val="none"/>
                <w:lang w:bidi="ar"/>
              </w:rPr>
              <w:t>注：①地区生产总值按当年价格计算，增长速度按可比价格计算；②[]为五年累计数；③带*指标以省上下达任务为准。</w:t>
            </w:r>
          </w:p>
          <w:p>
            <w:pPr>
              <w:keepNext w:val="0"/>
              <w:keepLines w:val="0"/>
              <w:pageBreakBefore w:val="0"/>
              <w:widowControl w:val="0"/>
              <w:kinsoku/>
              <w:wordWrap/>
              <w:overflowPunct/>
              <w:topLinePunct w:val="0"/>
              <w:bidi w:val="0"/>
              <w:spacing w:line="300" w:lineRule="exact"/>
              <w:ind w:firstLine="0" w:firstLineChars="0"/>
              <w:jc w:val="center"/>
              <w:textAlignment w:val="center"/>
              <w:rPr>
                <w:rFonts w:hint="eastAsia" w:ascii="宋体" w:hAnsi="宋体" w:eastAsia="宋体" w:cs="宋体"/>
                <w:spacing w:val="0"/>
                <w:kern w:val="0"/>
                <w:sz w:val="18"/>
                <w:szCs w:val="18"/>
                <w:highlight w:val="none"/>
                <w:lang w:bidi="ar"/>
              </w:rPr>
            </w:pPr>
          </w:p>
        </w:tc>
      </w:tr>
    </w:tbl>
    <w:p>
      <w:pPr>
        <w:adjustRightInd/>
        <w:snapToGrid/>
        <w:ind w:firstLine="640"/>
        <w:jc w:val="both"/>
        <w:rPr>
          <w:rFonts w:cs="Times New Roman"/>
          <w:sz w:val="32"/>
          <w:szCs w:val="32"/>
        </w:rPr>
        <w:sectPr>
          <w:pgSz w:w="11850" w:h="16783"/>
          <w:pgMar w:top="2098" w:right="1474" w:bottom="2041" w:left="1587" w:header="851" w:footer="992" w:gutter="0"/>
          <w:pgBorders>
            <w:top w:val="none" w:sz="0" w:space="0"/>
            <w:left w:val="none" w:sz="0" w:space="0"/>
            <w:bottom w:val="none" w:sz="0" w:space="0"/>
            <w:right w:val="none" w:sz="0" w:space="0"/>
          </w:pgBorders>
          <w:pgNumType w:fmt="numberInDash" w:chapStyle="1"/>
          <w:cols w:space="0" w:num="1"/>
          <w:docGrid w:type="lines" w:linePitch="384" w:charSpace="0"/>
        </w:sectPr>
      </w:pPr>
    </w:p>
    <w:p>
      <w:pPr>
        <w:pStyle w:val="3"/>
        <w:ind w:left="0" w:firstLine="0" w:firstLineChars="0"/>
        <w:rPr>
          <w:rFonts w:hint="default" w:ascii="Times New Roman" w:hAnsi="Times New Roman" w:eastAsia="方正小标宋简体" w:cs="Times New Roman"/>
          <w:w w:val="85"/>
          <w:sz w:val="44"/>
          <w:szCs w:val="44"/>
          <w:lang w:val="en-US" w:eastAsia="zh-CN"/>
        </w:rPr>
      </w:pPr>
      <w:bookmarkStart w:id="9" w:name="_Toc31570"/>
      <w:r>
        <w:rPr>
          <w:rFonts w:ascii="Times New Roman" w:hAnsi="Times New Roman" w:eastAsia="方正小标宋简体" w:cs="Times New Roman"/>
          <w:w w:val="85"/>
          <w:sz w:val="44"/>
          <w:szCs w:val="44"/>
        </w:rPr>
        <w:t>第三章</w:t>
      </w:r>
      <w:r>
        <w:rPr>
          <w:rFonts w:hint="eastAsia" w:ascii="Times New Roman" w:hAnsi="Times New Roman" w:eastAsia="方正小标宋简体" w:cs="Times New Roman"/>
          <w:w w:val="85"/>
          <w:sz w:val="44"/>
          <w:szCs w:val="44"/>
          <w:lang w:val="en-US" w:eastAsia="zh-CN"/>
        </w:rPr>
        <w:t xml:space="preserve"> 聚焦</w:t>
      </w:r>
      <w:r>
        <w:rPr>
          <w:rFonts w:ascii="Times New Roman" w:hAnsi="Times New Roman" w:eastAsia="方正小标宋简体" w:cs="Times New Roman"/>
          <w:w w:val="85"/>
          <w:sz w:val="44"/>
          <w:szCs w:val="44"/>
        </w:rPr>
        <w:t>创新驱动，</w:t>
      </w:r>
      <w:r>
        <w:rPr>
          <w:rFonts w:hint="eastAsia" w:ascii="Times New Roman" w:hAnsi="Times New Roman" w:eastAsia="方正小标宋简体" w:cs="Times New Roman"/>
          <w:w w:val="85"/>
          <w:sz w:val="44"/>
          <w:szCs w:val="44"/>
          <w:lang w:val="en-US" w:eastAsia="zh-CN"/>
        </w:rPr>
        <w:t>形成经济高质量发展新动力</w:t>
      </w:r>
      <w:bookmarkEnd w:id="9"/>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sz w:val="32"/>
          <w:szCs w:val="32"/>
        </w:rPr>
      </w:pPr>
      <w:r>
        <w:rPr>
          <w:rFonts w:cs="Times New Roman"/>
          <w:sz w:val="32"/>
          <w:szCs w:val="32"/>
        </w:rPr>
        <w:t>深入实施创新驱动发展战略，统筹推进技术创新、产业创新、企业创新和人才创新，突出抓核心、补短板、强主体、挖潜力，促进创新链、产业链、人才链、资金链深度融合，为市域经济高质量发展提供重要支撑。</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0" w:name="_Toc11122"/>
      <w:r>
        <w:rPr>
          <w:rFonts w:hint="eastAsia" w:ascii="楷体_GB2312" w:hAnsi="楷体_GB2312" w:eastAsia="楷体_GB2312" w:cs="楷体_GB2312"/>
          <w:bCs/>
          <w:sz w:val="32"/>
          <w:szCs w:val="32"/>
        </w:rPr>
        <w:t>第一节 确立科技创新核心地位</w:t>
      </w:r>
      <w:bookmarkEnd w:id="10"/>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sz w:val="32"/>
          <w:szCs w:val="32"/>
        </w:rPr>
      </w:pPr>
      <w:r>
        <w:rPr>
          <w:rFonts w:cs="Times New Roman"/>
          <w:sz w:val="32"/>
          <w:szCs w:val="32"/>
        </w:rPr>
        <w:t>确立科技创新在全局中的核心地位</w:t>
      </w:r>
      <w:r>
        <w:rPr>
          <w:rFonts w:hint="eastAsia" w:cs="Times New Roman"/>
          <w:sz w:val="32"/>
          <w:szCs w:val="32"/>
        </w:rPr>
        <w:t>，</w:t>
      </w:r>
      <w:r>
        <w:rPr>
          <w:rFonts w:hint="eastAsia" w:cs="Times New Roman"/>
          <w:sz w:val="32"/>
          <w:szCs w:val="32"/>
          <w:lang w:val="en-US" w:eastAsia="zh-CN"/>
        </w:rPr>
        <w:t>建立</w:t>
      </w:r>
      <w:r>
        <w:rPr>
          <w:rFonts w:cs="Times New Roman"/>
          <w:sz w:val="32"/>
          <w:szCs w:val="32"/>
        </w:rPr>
        <w:t>创新成果同产业升级对接、创新项目同提升生产力对接、研发人员创新劳动同收益分配对接</w:t>
      </w:r>
      <w:r>
        <w:rPr>
          <w:rFonts w:hint="eastAsia" w:cs="Times New Roman"/>
          <w:sz w:val="32"/>
          <w:szCs w:val="32"/>
          <w:lang w:val="en-US" w:eastAsia="zh-CN"/>
        </w:rPr>
        <w:t>的新机制</w:t>
      </w:r>
      <w:r>
        <w:rPr>
          <w:rFonts w:hint="eastAsia" w:cs="Times New Roman"/>
          <w:sz w:val="32"/>
          <w:szCs w:val="32"/>
        </w:rPr>
        <w:t>。</w:t>
      </w:r>
      <w:r>
        <w:rPr>
          <w:rFonts w:cs="Times New Roman"/>
          <w:sz w:val="32"/>
          <w:szCs w:val="32"/>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sz w:val="32"/>
          <w:szCs w:val="32"/>
        </w:rPr>
      </w:pPr>
      <w:r>
        <w:rPr>
          <w:rFonts w:cs="Times New Roman"/>
          <w:b/>
          <w:bCs/>
          <w:sz w:val="32"/>
          <w:szCs w:val="32"/>
        </w:rPr>
        <w:t>完善科技创新体制机制。</w:t>
      </w:r>
      <w:r>
        <w:rPr>
          <w:rFonts w:cs="Times New Roman"/>
          <w:sz w:val="32"/>
          <w:szCs w:val="32"/>
        </w:rPr>
        <w:t>建立政策引导机制，成立科技创新</w:t>
      </w:r>
      <w:r>
        <w:rPr>
          <w:rFonts w:hint="eastAsia" w:cs="Times New Roman"/>
          <w:sz w:val="32"/>
          <w:szCs w:val="32"/>
        </w:rPr>
        <w:t>推进</w:t>
      </w:r>
      <w:r>
        <w:rPr>
          <w:rFonts w:cs="Times New Roman"/>
          <w:sz w:val="32"/>
          <w:szCs w:val="32"/>
        </w:rPr>
        <w:t>委员会，搭建市级科技创新资源数据平台。建立</w:t>
      </w:r>
      <w:r>
        <w:rPr>
          <w:rFonts w:hint="eastAsia" w:cs="Times New Roman"/>
          <w:sz w:val="32"/>
          <w:szCs w:val="32"/>
          <w:lang w:val="en-US" w:eastAsia="zh-CN"/>
        </w:rPr>
        <w:t>应用</w:t>
      </w:r>
      <w:r>
        <w:rPr>
          <w:rFonts w:cs="Times New Roman"/>
          <w:sz w:val="32"/>
          <w:szCs w:val="32"/>
        </w:rPr>
        <w:t>研究投入</w:t>
      </w:r>
      <w:r>
        <w:rPr>
          <w:rFonts w:hint="eastAsia" w:cs="Times New Roman"/>
          <w:sz w:val="32"/>
          <w:szCs w:val="32"/>
          <w:lang w:val="en-US" w:eastAsia="zh-CN"/>
        </w:rPr>
        <w:t>引导</w:t>
      </w:r>
      <w:r>
        <w:rPr>
          <w:rFonts w:cs="Times New Roman"/>
          <w:sz w:val="32"/>
          <w:szCs w:val="32"/>
        </w:rPr>
        <w:t>机制，加强重大科研基础设施资金投入，每年</w:t>
      </w:r>
      <w:r>
        <w:rPr>
          <w:rFonts w:hint="eastAsia" w:cs="Times New Roman"/>
          <w:sz w:val="32"/>
          <w:szCs w:val="32"/>
          <w:lang w:val="en-US" w:eastAsia="zh-CN"/>
        </w:rPr>
        <w:t>全社会</w:t>
      </w:r>
      <w:r>
        <w:rPr>
          <w:rFonts w:cs="Times New Roman"/>
          <w:sz w:val="32"/>
          <w:szCs w:val="32"/>
        </w:rPr>
        <w:t>科技创新投入不少于</w:t>
      </w:r>
      <w:r>
        <w:rPr>
          <w:rFonts w:hint="eastAsia" w:cs="Times New Roman"/>
          <w:sz w:val="32"/>
          <w:szCs w:val="32"/>
          <w:lang w:val="en-US" w:eastAsia="zh-CN"/>
        </w:rPr>
        <w:t>5</w:t>
      </w:r>
      <w:r>
        <w:rPr>
          <w:rFonts w:cs="Times New Roman"/>
          <w:sz w:val="32"/>
          <w:szCs w:val="32"/>
        </w:rPr>
        <w:t>0亿元。建立健全政府、高校、科研院所和企业协作共享的创新资源管理机制，支持各类科技孵化创新平台建设。建立创业投资风险补偿机制，培育引进创投、风投机构。力争全社会科技研发投入占GDP比重逐年</w:t>
      </w:r>
      <w:r>
        <w:rPr>
          <w:rFonts w:hint="eastAsia" w:cs="Times New Roman"/>
          <w:sz w:val="32"/>
          <w:szCs w:val="32"/>
        </w:rPr>
        <w:t>大幅</w:t>
      </w:r>
      <w:r>
        <w:rPr>
          <w:rFonts w:cs="Times New Roman"/>
          <w:sz w:val="32"/>
          <w:szCs w:val="32"/>
        </w:rPr>
        <w:t>攀升，到2025年达到</w:t>
      </w:r>
      <w:r>
        <w:rPr>
          <w:rFonts w:hint="eastAsia" w:cs="Times New Roman"/>
          <w:sz w:val="32"/>
          <w:szCs w:val="32"/>
        </w:rPr>
        <w:t>全省平均水平</w:t>
      </w:r>
      <w:r>
        <w:rPr>
          <w:rFonts w:cs="Times New Roman"/>
          <w:sz w:val="32"/>
          <w:szCs w:val="32"/>
        </w:rPr>
        <w:t>。</w:t>
      </w:r>
    </w:p>
    <w:p>
      <w:pPr>
        <w:pStyle w:val="15"/>
        <w:keepNext w:val="0"/>
        <w:keepLines w:val="0"/>
        <w:pageBreakBefore w:val="0"/>
        <w:widowControl w:val="0"/>
        <w:kinsoku/>
        <w:wordWrap/>
        <w:overflowPunct/>
        <w:topLinePunct w:val="0"/>
        <w:autoSpaceDE/>
        <w:autoSpaceDN/>
        <w:bidi w:val="0"/>
        <w:spacing w:line="576" w:lineRule="exact"/>
        <w:ind w:firstLine="640"/>
        <w:textAlignment w:val="auto"/>
        <w:rPr>
          <w:rFonts w:cs="Times New Roman"/>
          <w:sz w:val="32"/>
          <w:szCs w:val="32"/>
        </w:rPr>
      </w:pPr>
      <w:r>
        <w:rPr>
          <w:rFonts w:cs="Times New Roman"/>
          <w:b/>
          <w:bCs/>
          <w:sz w:val="32"/>
          <w:szCs w:val="32"/>
        </w:rPr>
        <w:t>提升科创平台支撑能力。</w:t>
      </w:r>
      <w:r>
        <w:rPr>
          <w:rFonts w:cs="Times New Roman"/>
          <w:sz w:val="32"/>
          <w:szCs w:val="32"/>
        </w:rPr>
        <w:t>突出园区科技创新“主阵地”作用，在不断提升园区基础承载力的同时，提升园区产业集聚创新能力。发挥</w:t>
      </w:r>
      <w:r>
        <w:rPr>
          <w:rFonts w:hint="eastAsia" w:cs="Times New Roman"/>
          <w:sz w:val="32"/>
          <w:szCs w:val="32"/>
          <w:lang w:val="en-US" w:eastAsia="zh-CN"/>
        </w:rPr>
        <w:t>陕煤创新研究院神木基地和三江煤化工研发中心等企业主体作用，突破兰炭生产工艺瓶颈；支持重点企业组建煤炭清洁高效利用</w:t>
      </w:r>
      <w:r>
        <w:rPr>
          <w:rFonts w:hint="eastAsia" w:cs="Times New Roman"/>
          <w:sz w:val="32"/>
          <w:szCs w:val="32"/>
          <w:lang w:eastAsia="zh-CN"/>
        </w:rPr>
        <w:t>、</w:t>
      </w:r>
      <w:r>
        <w:rPr>
          <w:rFonts w:hint="eastAsia" w:cs="Times New Roman"/>
          <w:sz w:val="32"/>
          <w:szCs w:val="32"/>
        </w:rPr>
        <w:t>柔性显示</w:t>
      </w:r>
      <w:r>
        <w:rPr>
          <w:rFonts w:hint="eastAsia" w:cs="Times New Roman"/>
          <w:sz w:val="32"/>
          <w:szCs w:val="32"/>
          <w:lang w:eastAsia="zh-CN"/>
        </w:rPr>
        <w:t>、</w:t>
      </w:r>
      <w:r>
        <w:rPr>
          <w:rFonts w:hint="eastAsia" w:cs="Times New Roman"/>
          <w:sz w:val="32"/>
          <w:szCs w:val="32"/>
        </w:rPr>
        <w:t>工业互联网</w:t>
      </w:r>
      <w:r>
        <w:rPr>
          <w:rFonts w:hint="eastAsia" w:cs="Times New Roman"/>
          <w:sz w:val="32"/>
          <w:szCs w:val="32"/>
          <w:lang w:eastAsia="zh-CN"/>
        </w:rPr>
        <w:t>、</w:t>
      </w:r>
      <w:r>
        <w:rPr>
          <w:rFonts w:hint="eastAsia" w:cs="Times New Roman"/>
          <w:sz w:val="32"/>
          <w:szCs w:val="32"/>
        </w:rPr>
        <w:t>固体废弃物综合</w:t>
      </w:r>
      <w:r>
        <w:rPr>
          <w:rFonts w:hint="eastAsia" w:cs="Times New Roman"/>
          <w:sz w:val="32"/>
          <w:szCs w:val="32"/>
          <w:lang w:val="en-US" w:eastAsia="zh-CN"/>
        </w:rPr>
        <w:t>利用</w:t>
      </w:r>
      <w:r>
        <w:rPr>
          <w:rFonts w:hint="eastAsia" w:cs="Times New Roman"/>
          <w:sz w:val="32"/>
          <w:szCs w:val="32"/>
          <w:lang w:eastAsia="zh-CN"/>
        </w:rPr>
        <w:t>、</w:t>
      </w:r>
      <w:r>
        <w:rPr>
          <w:rFonts w:hint="eastAsia" w:cs="Times New Roman"/>
          <w:sz w:val="32"/>
          <w:szCs w:val="32"/>
        </w:rPr>
        <w:t>镁合金</w:t>
      </w:r>
      <w:r>
        <w:rPr>
          <w:rFonts w:hint="eastAsia" w:cs="Times New Roman"/>
          <w:sz w:val="32"/>
          <w:szCs w:val="32"/>
          <w:lang w:val="en-US" w:eastAsia="zh-CN"/>
        </w:rPr>
        <w:t>精深加工、中药材加工等</w:t>
      </w:r>
      <w:r>
        <w:rPr>
          <w:rFonts w:hint="eastAsia" w:cs="Times New Roman"/>
          <w:sz w:val="32"/>
          <w:szCs w:val="32"/>
        </w:rPr>
        <w:t>研发</w:t>
      </w:r>
      <w:r>
        <w:rPr>
          <w:rFonts w:hint="eastAsia" w:cs="Times New Roman"/>
          <w:sz w:val="32"/>
          <w:szCs w:val="32"/>
          <w:lang w:val="en-US" w:eastAsia="zh-CN"/>
        </w:rPr>
        <w:t>创新机构，</w:t>
      </w:r>
      <w:r>
        <w:rPr>
          <w:rFonts w:cs="Times New Roman"/>
          <w:sz w:val="32"/>
          <w:szCs w:val="32"/>
        </w:rPr>
        <w:t>围绕能源化工、装备制造、新材料、</w:t>
      </w:r>
      <w:r>
        <w:rPr>
          <w:rFonts w:hint="eastAsia" w:cs="Times New Roman"/>
          <w:sz w:val="32"/>
          <w:szCs w:val="32"/>
          <w:lang w:val="en-US" w:eastAsia="zh-CN"/>
        </w:rPr>
        <w:t>节能环保、</w:t>
      </w:r>
      <w:r>
        <w:rPr>
          <w:rFonts w:cs="Times New Roman"/>
          <w:sz w:val="32"/>
          <w:szCs w:val="32"/>
        </w:rPr>
        <w:t>生命健康等</w:t>
      </w:r>
      <w:r>
        <w:rPr>
          <w:rFonts w:hint="eastAsia" w:cs="Times New Roman"/>
          <w:sz w:val="32"/>
          <w:szCs w:val="32"/>
          <w:lang w:val="en-US" w:eastAsia="zh-CN"/>
        </w:rPr>
        <w:t>领域布局</w:t>
      </w:r>
      <w:r>
        <w:rPr>
          <w:rFonts w:cs="Times New Roman"/>
          <w:sz w:val="32"/>
          <w:szCs w:val="32"/>
        </w:rPr>
        <w:t>产业链创新，加快科技成果产业化。扶持一批重点实验室、工程（技术）研究中心升级成为省级以上科创平台，积极争取国家实验室在神木布局。引导</w:t>
      </w:r>
      <w:r>
        <w:rPr>
          <w:rFonts w:hint="eastAsia" w:cs="Times New Roman"/>
          <w:sz w:val="32"/>
          <w:szCs w:val="32"/>
          <w:lang w:eastAsia="zh-CN"/>
        </w:rPr>
        <w:t>和支持</w:t>
      </w:r>
      <w:r>
        <w:rPr>
          <w:rFonts w:cs="Times New Roman"/>
          <w:sz w:val="32"/>
          <w:szCs w:val="32"/>
        </w:rPr>
        <w:t>民间资本和专业机构设立孵化器、众创空间等创新创业载体。</w:t>
      </w:r>
    </w:p>
    <w:p>
      <w:pPr>
        <w:pStyle w:val="15"/>
        <w:keepNext w:val="0"/>
        <w:keepLines w:val="0"/>
        <w:pageBreakBefore w:val="0"/>
        <w:widowControl w:val="0"/>
        <w:kinsoku/>
        <w:wordWrap/>
        <w:overflowPunct/>
        <w:topLinePunct w:val="0"/>
        <w:autoSpaceDE/>
        <w:autoSpaceDN/>
        <w:bidi w:val="0"/>
        <w:spacing w:line="576" w:lineRule="exact"/>
        <w:ind w:firstLine="640"/>
        <w:textAlignment w:val="auto"/>
        <w:rPr>
          <w:rFonts w:cs="Times New Roman"/>
          <w:sz w:val="32"/>
          <w:szCs w:val="32"/>
        </w:rPr>
      </w:pPr>
      <w:r>
        <w:rPr>
          <w:rFonts w:cs="Times New Roman"/>
          <w:b/>
          <w:bCs/>
          <w:sz w:val="32"/>
          <w:szCs w:val="32"/>
        </w:rPr>
        <w:t>强化科技创新考核。</w:t>
      </w:r>
      <w:r>
        <w:rPr>
          <w:rFonts w:cs="Times New Roman"/>
          <w:sz w:val="32"/>
          <w:szCs w:val="32"/>
        </w:rPr>
        <w:t>建立科技创新专项考核体系，将研发经费、高新技术企业数量、科技型中小企业数量、发明专利、科技平台建设等指标纳入年度目标责任考核，增加科技创新考核指标权重。</w:t>
      </w:r>
      <w:r>
        <w:rPr>
          <w:rFonts w:hint="eastAsia" w:cs="Times New Roman"/>
          <w:sz w:val="32"/>
          <w:szCs w:val="32"/>
          <w:lang w:val="en-US" w:eastAsia="zh-CN"/>
        </w:rPr>
        <w:t>建立创新倒逼机制，灵活运用和适时调整环保、节能、节地、节水、节材、质量和安全指标及相关标准，加大强制性标准的制定和实施。</w:t>
      </w:r>
      <w:r>
        <w:rPr>
          <w:rFonts w:cs="Times New Roman"/>
          <w:sz w:val="32"/>
          <w:szCs w:val="32"/>
        </w:rPr>
        <w:t>强化科技考核结果运用，将考核结果作为政策倾斜、资金奖补的重要依据。</w:t>
      </w:r>
    </w:p>
    <w:p>
      <w:pPr>
        <w:pStyle w:val="44"/>
        <w:adjustRightInd/>
        <w:snapToGrid/>
        <w:spacing w:before="156" w:beforeLines="50" w:after="156" w:afterLines="50"/>
        <w:ind w:firstLine="0" w:firstLineChars="0"/>
        <w:jc w:val="center"/>
        <w:outlineLvl w:val="1"/>
        <w:rPr>
          <w:rFonts w:hint="eastAsia" w:eastAsia="楷体_GB2312" w:cs="Times New Roman"/>
          <w:bCs/>
          <w:sz w:val="32"/>
          <w:szCs w:val="32"/>
        </w:rPr>
      </w:pPr>
      <w:bookmarkStart w:id="11" w:name="_Toc17609"/>
      <w:r>
        <w:rPr>
          <w:rFonts w:hint="eastAsia" w:eastAsia="楷体_GB2312" w:cs="Times New Roman"/>
          <w:bCs/>
          <w:sz w:val="32"/>
          <w:szCs w:val="32"/>
        </w:rPr>
        <w:t>第二节 构建133N科技创新发展新格局</w:t>
      </w:r>
      <w:bookmarkEnd w:id="11"/>
    </w:p>
    <w:p>
      <w:pPr>
        <w:keepNext w:val="0"/>
        <w:keepLines w:val="0"/>
        <w:pageBreakBefore w:val="0"/>
        <w:widowControl w:val="0"/>
        <w:kinsoku/>
        <w:wordWrap/>
        <w:overflowPunct/>
        <w:topLinePunct w:val="0"/>
        <w:autoSpaceDE/>
        <w:autoSpaceDN/>
        <w:bidi w:val="0"/>
        <w:adjustRightInd/>
        <w:snapToGrid/>
        <w:spacing w:line="576" w:lineRule="exact"/>
        <w:ind w:firstLine="640"/>
        <w:jc w:val="both"/>
        <w:textAlignment w:val="auto"/>
        <w:rPr>
          <w:rFonts w:cs="Times New Roman"/>
          <w:sz w:val="32"/>
          <w:szCs w:val="32"/>
        </w:rPr>
      </w:pPr>
      <w:r>
        <w:rPr>
          <w:rFonts w:cs="Times New Roman"/>
          <w:sz w:val="32"/>
          <w:szCs w:val="32"/>
        </w:rPr>
        <w:t>按照“政府主导、市场多元，全域布局、重点突破”原则，推广“离岸孵化”发展模式，打造“双创”升级版，构建133N创新发展新格局。承接国内外高新科技向西向下转移，</w:t>
      </w:r>
      <w:r>
        <w:rPr>
          <w:rFonts w:hint="eastAsia"/>
          <w:sz w:val="32"/>
          <w:szCs w:val="32"/>
          <w:lang w:val="en-US" w:eastAsia="zh-CN"/>
        </w:rPr>
        <w:t>借力</w:t>
      </w:r>
      <w:r>
        <w:rPr>
          <w:rFonts w:hint="eastAsia" w:ascii="Times New Roman" w:hAnsi="Times New Roman"/>
          <w:sz w:val="32"/>
          <w:szCs w:val="32"/>
          <w:lang w:val="en-US" w:eastAsia="zh-CN"/>
        </w:rPr>
        <w:t>国</w:t>
      </w:r>
      <w:r>
        <w:rPr>
          <w:rFonts w:hint="eastAsia"/>
          <w:sz w:val="32"/>
          <w:szCs w:val="32"/>
          <w:lang w:val="en-US" w:eastAsia="zh-CN"/>
        </w:rPr>
        <w:t>内</w:t>
      </w:r>
      <w:r>
        <w:rPr>
          <w:rFonts w:hint="eastAsia" w:ascii="Times New Roman" w:hAnsi="Times New Roman"/>
          <w:sz w:val="32"/>
          <w:szCs w:val="32"/>
          <w:lang w:val="en-US" w:eastAsia="zh-CN"/>
        </w:rPr>
        <w:t>外</w:t>
      </w:r>
      <w:r>
        <w:rPr>
          <w:rFonts w:hint="eastAsia"/>
          <w:sz w:val="32"/>
          <w:szCs w:val="32"/>
          <w:lang w:val="en-US" w:eastAsia="zh-CN"/>
        </w:rPr>
        <w:t>优质</w:t>
      </w:r>
      <w:r>
        <w:rPr>
          <w:rFonts w:hint="eastAsia" w:ascii="Times New Roman" w:hAnsi="Times New Roman"/>
          <w:sz w:val="32"/>
          <w:szCs w:val="32"/>
          <w:lang w:val="en-US" w:eastAsia="zh-CN"/>
        </w:rPr>
        <w:t>科技资源，</w:t>
      </w:r>
      <w:r>
        <w:rPr>
          <w:rFonts w:hint="default" w:ascii="Times New Roman" w:hAnsi="Times New Roman" w:eastAsia="仿宋_GB2312" w:cs="Times New Roman"/>
          <w:bCs/>
          <w:sz w:val="32"/>
          <w:szCs w:val="32"/>
          <w:lang w:eastAsia="zh-CN"/>
        </w:rPr>
        <w:t>依托全省科教优势、</w:t>
      </w:r>
      <w:r>
        <w:rPr>
          <w:rFonts w:hint="default" w:ascii="Times New Roman" w:hAnsi="Times New Roman" w:eastAsia="仿宋_GB2312" w:cs="Times New Roman"/>
          <w:sz w:val="32"/>
          <w:szCs w:val="32"/>
          <w:lang w:eastAsia="zh-CN"/>
        </w:rPr>
        <w:t>榆林市科创新城</w:t>
      </w:r>
      <w:r>
        <w:rPr>
          <w:rFonts w:hint="eastAsia" w:ascii="Times New Roman" w:hAnsi="Times New Roman" w:cs="Times New Roman"/>
          <w:sz w:val="32"/>
          <w:szCs w:val="32"/>
          <w:lang w:eastAsia="zh-CN"/>
        </w:rPr>
        <w:t>，</w:t>
      </w:r>
      <w:r>
        <w:rPr>
          <w:rFonts w:cs="Times New Roman"/>
          <w:sz w:val="32"/>
          <w:szCs w:val="32"/>
        </w:rPr>
        <w:t>发挥好西安飞地科技园科创纽带作用，</w:t>
      </w:r>
      <w:r>
        <w:rPr>
          <w:rFonts w:hint="eastAsia" w:cs="Times New Roman"/>
          <w:sz w:val="32"/>
          <w:szCs w:val="32"/>
        </w:rPr>
        <w:t>探索</w:t>
      </w:r>
      <w:r>
        <w:rPr>
          <w:rFonts w:cs="Times New Roman"/>
          <w:sz w:val="32"/>
          <w:szCs w:val="32"/>
        </w:rPr>
        <w:t>在北上广深设立“神木实验室”</w:t>
      </w:r>
      <w:r>
        <w:rPr>
          <w:rFonts w:hint="eastAsia" w:cs="Times New Roman"/>
          <w:sz w:val="32"/>
          <w:szCs w:val="32"/>
          <w:lang w:eastAsia="zh-CN"/>
        </w:rPr>
        <w:t>，</w:t>
      </w:r>
      <w:r>
        <w:rPr>
          <w:rFonts w:hint="eastAsia" w:ascii="Times New Roman" w:hAnsi="Times New Roman" w:cs="Times New Roman"/>
          <w:bCs/>
          <w:sz w:val="32"/>
          <w:szCs w:val="32"/>
          <w:lang w:val="en-US" w:eastAsia="zh-CN"/>
        </w:rPr>
        <w:t>合力开展政产学研</w:t>
      </w:r>
      <w:r>
        <w:rPr>
          <w:rFonts w:hint="eastAsia" w:cs="Times New Roman"/>
          <w:bCs/>
          <w:sz w:val="32"/>
          <w:szCs w:val="32"/>
          <w:lang w:val="en-US" w:eastAsia="zh-CN"/>
        </w:rPr>
        <w:t>用</w:t>
      </w:r>
      <w:r>
        <w:rPr>
          <w:rFonts w:hint="eastAsia" w:ascii="Times New Roman" w:hAnsi="Times New Roman" w:cs="Times New Roman"/>
          <w:bCs/>
          <w:sz w:val="32"/>
          <w:szCs w:val="32"/>
          <w:lang w:val="en-US" w:eastAsia="zh-CN"/>
        </w:rPr>
        <w:t>协同创新</w:t>
      </w:r>
      <w:r>
        <w:rPr>
          <w:rFonts w:cs="Times New Roman"/>
          <w:sz w:val="32"/>
          <w:szCs w:val="32"/>
        </w:rPr>
        <w:t>。高标准建设神木“创新谷”，打造地标性创新战略高地和能源化工科创策源地。积极引进创新服务机构，探索委托运营、联合投资、共同开发等模式，培育壮大科技创新市场主体。支持煤炭科技孵化园创建国家级孵化</w:t>
      </w:r>
      <w:r>
        <w:rPr>
          <w:rFonts w:hint="eastAsia" w:cs="Times New Roman"/>
          <w:sz w:val="32"/>
          <w:szCs w:val="32"/>
          <w:lang w:val="en-US" w:eastAsia="zh-CN"/>
        </w:rPr>
        <w:t>器</w:t>
      </w:r>
      <w:r>
        <w:rPr>
          <w:rFonts w:cs="Times New Roman"/>
          <w:sz w:val="32"/>
          <w:szCs w:val="32"/>
        </w:rPr>
        <w:t>。到2025年，建成</w:t>
      </w:r>
      <w:r>
        <w:rPr>
          <w:rFonts w:hint="eastAsia" w:cs="Times New Roman"/>
          <w:sz w:val="32"/>
          <w:szCs w:val="32"/>
          <w:lang w:val="en-US" w:eastAsia="zh-CN"/>
        </w:rPr>
        <w:t>国家级</w:t>
      </w:r>
      <w:r>
        <w:rPr>
          <w:rFonts w:cs="Times New Roman"/>
          <w:sz w:val="32"/>
          <w:szCs w:val="32"/>
        </w:rPr>
        <w:t>重点实验室</w:t>
      </w:r>
      <w:r>
        <w:rPr>
          <w:rFonts w:hint="eastAsia" w:cs="Times New Roman"/>
          <w:sz w:val="32"/>
          <w:szCs w:val="32"/>
          <w:lang w:val="en-US" w:eastAsia="zh-CN"/>
        </w:rPr>
        <w:t>5</w:t>
      </w:r>
      <w:r>
        <w:rPr>
          <w:rFonts w:cs="Times New Roman"/>
          <w:sz w:val="32"/>
          <w:szCs w:val="32"/>
        </w:rPr>
        <w:t>个，省级以上企业技术中心</w:t>
      </w:r>
      <w:r>
        <w:rPr>
          <w:rFonts w:hint="eastAsia" w:cs="Times New Roman"/>
          <w:sz w:val="32"/>
          <w:szCs w:val="32"/>
          <w:lang w:val="en-US" w:eastAsia="zh-CN"/>
        </w:rPr>
        <w:t>20</w:t>
      </w:r>
      <w:r>
        <w:rPr>
          <w:rFonts w:cs="Times New Roman"/>
          <w:sz w:val="32"/>
          <w:szCs w:val="32"/>
        </w:rPr>
        <w:t>家</w:t>
      </w:r>
      <w:r>
        <w:rPr>
          <w:rFonts w:hint="eastAsia" w:cs="Times New Roman"/>
          <w:sz w:val="32"/>
          <w:szCs w:val="32"/>
          <w:lang w:eastAsia="zh-CN"/>
        </w:rPr>
        <w:t>，</w:t>
      </w:r>
      <w:r>
        <w:rPr>
          <w:rFonts w:hint="eastAsia" w:cs="Times New Roman"/>
          <w:sz w:val="32"/>
          <w:szCs w:val="32"/>
          <w:lang w:val="en-US" w:eastAsia="zh-CN"/>
        </w:rPr>
        <w:t>新设立技术研究院3个，新增省级以上科技企业孵化器4个，</w:t>
      </w:r>
      <w:r>
        <w:rPr>
          <w:rFonts w:hint="eastAsia" w:cs="Times New Roman"/>
          <w:sz w:val="32"/>
          <w:szCs w:val="32"/>
        </w:rPr>
        <w:t>万人有效发明专利达</w:t>
      </w:r>
      <w:r>
        <w:rPr>
          <w:rFonts w:hint="eastAsia" w:cs="Times New Roman"/>
          <w:sz w:val="32"/>
          <w:szCs w:val="32"/>
          <w:lang w:eastAsia="zh-CN"/>
        </w:rPr>
        <w:t>到</w:t>
      </w:r>
      <w:r>
        <w:rPr>
          <w:rFonts w:hint="eastAsia" w:cs="Times New Roman"/>
          <w:sz w:val="32"/>
          <w:szCs w:val="32"/>
          <w:lang w:val="en-US" w:eastAsia="zh-CN"/>
        </w:rPr>
        <w:t>3.41</w:t>
      </w:r>
      <w:r>
        <w:rPr>
          <w:rFonts w:hint="eastAsia" w:cs="Times New Roman"/>
          <w:sz w:val="32"/>
          <w:szCs w:val="32"/>
        </w:rPr>
        <w:t>件</w:t>
      </w:r>
      <w:r>
        <w:rPr>
          <w:rFonts w:hint="eastAsia" w:cs="Times New Roman"/>
          <w:sz w:val="32"/>
          <w:szCs w:val="32"/>
          <w:lang w:eastAsia="zh-CN"/>
        </w:rPr>
        <w:t>以上</w:t>
      </w:r>
      <w:r>
        <w:rPr>
          <w:rFonts w:cs="Times New Roman"/>
          <w:sz w:val="32"/>
          <w:szCs w:val="32"/>
        </w:rPr>
        <w:t>。</w:t>
      </w:r>
    </w:p>
    <w:tbl>
      <w:tblPr>
        <w:tblStyle w:val="25"/>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359" w:type="dxa"/>
          </w:tcPr>
          <w:p>
            <w:pPr>
              <w:spacing w:line="440" w:lineRule="exact"/>
              <w:ind w:firstLine="0" w:firstLineChars="0"/>
              <w:jc w:val="both"/>
              <w:rPr>
                <w:rFonts w:hint="eastAsia" w:ascii="黑体" w:hAnsi="黑体" w:eastAsia="黑体" w:cs="黑体"/>
                <w:sz w:val="24"/>
                <w:szCs w:val="24"/>
              </w:rPr>
            </w:pPr>
            <w:r>
              <w:rPr>
                <w:rFonts w:hint="eastAsia" w:ascii="黑体" w:hAnsi="黑体" w:eastAsia="黑体" w:cs="黑体"/>
                <w:sz w:val="24"/>
                <w:szCs w:val="24"/>
              </w:rPr>
              <w:t>专栏1：</w:t>
            </w:r>
          </w:p>
          <w:p>
            <w:pPr>
              <w:keepNext w:val="0"/>
              <w:keepLines w:val="0"/>
              <w:pageBreakBefore w:val="0"/>
              <w:widowControl w:val="0"/>
              <w:kinsoku/>
              <w:wordWrap/>
              <w:overflowPunct/>
              <w:topLinePunct w:val="0"/>
              <w:autoSpaceDE/>
              <w:autoSpaceDN/>
              <w:bidi w:val="0"/>
              <w:adjustRightInd w:val="0"/>
              <w:snapToGrid w:val="0"/>
              <w:spacing w:after="63" w:afterLines="20" w:line="440" w:lineRule="exact"/>
              <w:jc w:val="center"/>
              <w:textAlignment w:val="auto"/>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“133N”科技创新发展格局</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一谷：</w:t>
            </w:r>
            <w:r>
              <w:rPr>
                <w:rFonts w:hint="eastAsia" w:ascii="仿宋_GB2312" w:hAnsi="仿宋_GB2312" w:eastAsia="仿宋_GB2312" w:cs="仿宋_GB2312"/>
                <w:b/>
                <w:bCs/>
                <w:color w:val="000000" w:themeColor="text1"/>
                <w:sz w:val="24"/>
                <w:szCs w:val="24"/>
                <w14:textFill>
                  <w14:solidFill>
                    <w14:schemeClr w14:val="tx1"/>
                  </w14:solidFill>
                </w14:textFill>
              </w:rPr>
              <w:t>滨河新区神木“创新谷”：</w:t>
            </w:r>
            <w:r>
              <w:rPr>
                <w:rFonts w:hint="eastAsia" w:ascii="仿宋_GB2312" w:hAnsi="仿宋_GB2312" w:eastAsia="仿宋_GB2312" w:cs="仿宋_GB2312"/>
                <w:color w:val="000000" w:themeColor="text1"/>
                <w:sz w:val="24"/>
                <w:szCs w:val="24"/>
                <w14:textFill>
                  <w14:solidFill>
                    <w14:schemeClr w14:val="tx1"/>
                  </w14:solidFill>
                </w14:textFill>
              </w:rPr>
              <w:t>建成集“双创”孵化、科技研发、成果转化、配套服务等四大功能科技创新综合体，拓展创新空间</w:t>
            </w:r>
            <w:r>
              <w:rPr>
                <w:rFonts w:hint="eastAsia" w:ascii="仿宋_GB2312" w:hAnsi="仿宋_GB2312" w:cs="仿宋_GB2312"/>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三园：</w:t>
            </w:r>
            <w:r>
              <w:rPr>
                <w:rFonts w:hint="eastAsia" w:ascii="仿宋_GB2312" w:hAnsi="仿宋_GB2312" w:eastAsia="仿宋_GB2312" w:cs="仿宋_GB2312"/>
                <w:b/>
                <w:bCs/>
                <w:color w:val="000000" w:themeColor="text1"/>
                <w:sz w:val="24"/>
                <w:szCs w:val="24"/>
                <w14:textFill>
                  <w14:solidFill>
                    <w14:schemeClr w14:val="tx1"/>
                  </w14:solidFill>
                </w14:textFill>
              </w:rPr>
              <w:t>西安飞地经济科技园：</w:t>
            </w:r>
            <w:r>
              <w:rPr>
                <w:rFonts w:hint="eastAsia" w:ascii="仿宋_GB2312" w:hAnsi="仿宋_GB2312" w:eastAsia="仿宋_GB2312" w:cs="仿宋_GB2312"/>
                <w:color w:val="000000" w:themeColor="text1"/>
                <w:sz w:val="24"/>
                <w:szCs w:val="24"/>
                <w14:textFill>
                  <w14:solidFill>
                    <w14:schemeClr w14:val="tx1"/>
                  </w14:solidFill>
                </w14:textFill>
              </w:rPr>
              <w:t>充分发挥西安科教优势资源，广泛开展政产学研合作，围绕数字经济、智能制造、新兴服务业，加速“双创”孵化，建成神木离岸经济试点。</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神木高新区</w:t>
            </w:r>
            <w:r>
              <w:rPr>
                <w:rFonts w:hint="eastAsia" w:ascii="仿宋_GB2312" w:hAnsi="仿宋_GB2312" w:eastAsia="仿宋_GB2312" w:cs="仿宋_GB2312"/>
                <w:b/>
                <w:bCs/>
                <w:color w:val="000000" w:themeColor="text1"/>
                <w:sz w:val="24"/>
                <w:szCs w:val="24"/>
                <w14:textFill>
                  <w14:solidFill>
                    <w14:schemeClr w14:val="tx1"/>
                  </w14:solidFill>
                </w14:textFill>
              </w:rPr>
              <w:t>创新孵化园：</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与中国矿大、中国地质大学等高校围绕</w:t>
            </w:r>
            <w:r>
              <w:rPr>
                <w:rFonts w:hint="eastAsia" w:ascii="仿宋_GB2312" w:hAnsi="仿宋_GB2312" w:eastAsia="仿宋_GB2312" w:cs="仿宋_GB2312"/>
                <w:color w:val="000000" w:themeColor="text1"/>
                <w:sz w:val="24"/>
                <w:szCs w:val="24"/>
                <w14:textFill>
                  <w14:solidFill>
                    <w14:schemeClr w14:val="tx1"/>
                  </w14:solidFill>
                </w14:textFill>
              </w:rPr>
              <w:t>煤炭清洁高效利用、精细化工、节能环保、低碳循环等</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领域广泛开展政产学研</w:t>
            </w:r>
            <w:r>
              <w:rPr>
                <w:rFonts w:hint="eastAsia" w:ascii="仿宋_GB2312" w:hAnsi="仿宋_GB2312" w:cs="仿宋_GB2312"/>
                <w:color w:val="000000" w:themeColor="text1"/>
                <w:sz w:val="24"/>
                <w:szCs w:val="24"/>
                <w:lang w:val="en-US" w:eastAsia="zh-CN"/>
                <w14:textFill>
                  <w14:solidFill>
                    <w14:schemeClr w14:val="tx1"/>
                  </w14:solidFill>
                </w14:textFill>
              </w:rPr>
              <w:t>用</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合作</w:t>
            </w:r>
            <w:r>
              <w:rPr>
                <w:rFonts w:hint="eastAsia" w:ascii="仿宋_GB2312" w:hAnsi="仿宋_GB2312" w:eastAsia="仿宋_GB2312" w:cs="仿宋_GB2312"/>
                <w:color w:val="000000" w:themeColor="text1"/>
                <w:sz w:val="24"/>
                <w:szCs w:val="24"/>
                <w14:textFill>
                  <w14:solidFill>
                    <w14:schemeClr w14:val="tx1"/>
                  </w14:solidFill>
                </w14:textFill>
              </w:rPr>
              <w:t>，转化科研成果，培育高端产业。</w:t>
            </w:r>
            <w:r>
              <w:rPr>
                <w:rFonts w:hint="eastAsia" w:ascii="仿宋_GB2312" w:hAnsi="仿宋_GB2312" w:eastAsia="仿宋_GB2312" w:cs="仿宋_GB2312"/>
                <w:b/>
                <w:bCs/>
                <w:color w:val="000000" w:themeColor="text1"/>
                <w:sz w:val="24"/>
                <w:szCs w:val="24"/>
                <w14:textFill>
                  <w14:solidFill>
                    <w14:schemeClr w14:val="tx1"/>
                  </w14:solidFill>
                </w14:textFill>
              </w:rPr>
              <w:t>神木煤炭科技孵化园：</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利用“煤亮子”平台，</w:t>
            </w:r>
            <w:r>
              <w:rPr>
                <w:rFonts w:hint="eastAsia" w:ascii="仿宋_GB2312" w:hAnsi="仿宋_GB2312" w:eastAsia="仿宋_GB2312" w:cs="仿宋_GB2312"/>
                <w:color w:val="000000" w:themeColor="text1"/>
                <w:sz w:val="24"/>
                <w:szCs w:val="24"/>
                <w14:textFill>
                  <w14:solidFill>
                    <w14:schemeClr w14:val="tx1"/>
                  </w14:solidFill>
                </w14:textFill>
              </w:rPr>
              <w:t>发挥工业互联网优势，孵化煤炭开采、煤基新材料、装备制造等产业，培育优质市场主体</w:t>
            </w:r>
            <w:r>
              <w:rPr>
                <w:rFonts w:hint="eastAsia" w:ascii="仿宋_GB2312" w:hAnsi="仿宋_GB2312" w:cs="仿宋_GB2312"/>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_GB2312" w:hAnsi="仿宋_GB2312" w:eastAsia="仿宋_GB2312" w:cs="仿宋_GB2312"/>
                <w:color w:val="000000" w:themeColor="text1"/>
                <w:sz w:val="24"/>
                <w:szCs w:val="24"/>
                <w:lang w:val="zh-CN"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三基地：</w:t>
            </w:r>
            <w:r>
              <w:rPr>
                <w:rFonts w:hint="eastAsia" w:ascii="仿宋_GB2312" w:hAnsi="仿宋_GB2312" w:eastAsia="仿宋_GB2312" w:cs="仿宋_GB2312"/>
                <w:b/>
                <w:bCs/>
                <w:color w:val="000000" w:themeColor="text1"/>
                <w:sz w:val="24"/>
                <w:szCs w:val="24"/>
                <w:lang w:val="zh-CN"/>
                <w14:textFill>
                  <w14:solidFill>
                    <w14:schemeClr w14:val="tx1"/>
                  </w14:solidFill>
                </w14:textFill>
              </w:rPr>
              <w:t>黑马创新学院·神木分院</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创新培训</w:t>
            </w:r>
            <w:r>
              <w:rPr>
                <w:rFonts w:hint="eastAsia" w:ascii="仿宋_GB2312" w:hAnsi="仿宋_GB2312" w:eastAsia="仿宋_GB2312" w:cs="仿宋_GB2312"/>
                <w:b/>
                <w:bCs/>
                <w:color w:val="000000" w:themeColor="text1"/>
                <w:sz w:val="24"/>
                <w:szCs w:val="24"/>
                <w:lang w:val="zh-CN"/>
                <w14:textFill>
                  <w14:solidFill>
                    <w14:schemeClr w14:val="tx1"/>
                  </w14:solidFill>
                </w14:textFill>
              </w:rPr>
              <w:t>基地：</w:t>
            </w:r>
            <w:r>
              <w:rPr>
                <w:rFonts w:hint="eastAsia" w:ascii="仿宋_GB2312" w:hAnsi="仿宋_GB2312" w:eastAsia="仿宋_GB2312" w:cs="仿宋_GB2312"/>
                <w:color w:val="000000" w:themeColor="text1"/>
                <w:sz w:val="24"/>
                <w:szCs w:val="24"/>
                <w:lang w:val="zh-CN"/>
                <w14:textFill>
                  <w14:solidFill>
                    <w14:schemeClr w14:val="tx1"/>
                  </w14:solidFill>
                </w14:textFill>
              </w:rPr>
              <w:t>引进国内外领先技术，开展技术转移和项目落地。</w:t>
            </w:r>
            <w:r>
              <w:rPr>
                <w:rFonts w:hint="eastAsia" w:ascii="仿宋_GB2312" w:hAnsi="仿宋_GB2312" w:eastAsia="仿宋_GB2312" w:cs="仿宋_GB2312"/>
                <w:color w:val="000000" w:themeColor="text1"/>
                <w:sz w:val="24"/>
                <w:szCs w:val="24"/>
                <w14:textFill>
                  <w14:solidFill>
                    <w14:schemeClr w14:val="tx1"/>
                  </w14:solidFill>
                </w14:textFill>
              </w:rPr>
              <w:t>遴选神木优秀企业家开展创新创业培训。</w:t>
            </w:r>
            <w:r>
              <w:rPr>
                <w:rFonts w:hint="eastAsia" w:ascii="仿宋_GB2312" w:hAnsi="仿宋_GB2312" w:eastAsia="仿宋_GB2312" w:cs="仿宋_GB2312"/>
                <w:b/>
                <w:bCs/>
                <w:color w:val="000000" w:themeColor="text1"/>
                <w:sz w:val="24"/>
                <w:szCs w:val="24"/>
                <w14:textFill>
                  <w14:solidFill>
                    <w14:schemeClr w14:val="tx1"/>
                  </w14:solidFill>
                </w14:textFill>
              </w:rPr>
              <w:t>神木</w:t>
            </w:r>
            <w:r>
              <w:rPr>
                <w:rFonts w:hint="eastAsia" w:ascii="仿宋_GB2312" w:hAnsi="仿宋_GB2312" w:eastAsia="仿宋_GB2312" w:cs="仿宋_GB2312"/>
                <w:b/>
                <w:bCs/>
                <w:color w:val="000000" w:themeColor="text1"/>
                <w:sz w:val="24"/>
                <w:szCs w:val="24"/>
                <w:lang w:val="zh-CN"/>
                <w14:textFill>
                  <w14:solidFill>
                    <w14:schemeClr w14:val="tx1"/>
                  </w14:solidFill>
                </w14:textFill>
              </w:rPr>
              <w:t>农</w:t>
            </w:r>
            <w:r>
              <w:rPr>
                <w:rFonts w:hint="eastAsia" w:ascii="仿宋_GB2312" w:hAnsi="仿宋_GB2312" w:eastAsia="仿宋_GB2312" w:cs="仿宋_GB2312"/>
                <w:b/>
                <w:bCs/>
                <w:color w:val="000000" w:themeColor="text1"/>
                <w:sz w:val="24"/>
                <w:szCs w:val="24"/>
                <w14:textFill>
                  <w14:solidFill>
                    <w14:schemeClr w14:val="tx1"/>
                  </w14:solidFill>
                </w14:textFill>
              </w:rPr>
              <w:t>业科技资源统筹与创新基地：</w:t>
            </w:r>
            <w:r>
              <w:rPr>
                <w:rFonts w:hint="eastAsia" w:ascii="仿宋_GB2312" w:hAnsi="仿宋_GB2312" w:eastAsia="仿宋_GB2312" w:cs="仿宋_GB2312"/>
                <w:color w:val="000000" w:themeColor="text1"/>
                <w:sz w:val="24"/>
                <w:szCs w:val="24"/>
                <w14:textFill>
                  <w14:solidFill>
                    <w14:schemeClr w14:val="tx1"/>
                  </w14:solidFill>
                </w14:textFill>
              </w:rPr>
              <w:t>统筹省市农业科技资源，联合开展全链条技术创新，推进</w:t>
            </w:r>
            <w:r>
              <w:rPr>
                <w:rFonts w:hint="eastAsia" w:ascii="仿宋_GB2312" w:hAnsi="仿宋_GB2312" w:cs="仿宋_GB2312"/>
                <w:color w:val="000000" w:themeColor="text1"/>
                <w:sz w:val="24"/>
                <w:szCs w:val="24"/>
                <w:lang w:val="en-US" w:eastAsia="zh-CN"/>
                <w14:textFill>
                  <w14:solidFill>
                    <w14:schemeClr w14:val="tx1"/>
                  </w14:solidFill>
                </w14:textFill>
              </w:rPr>
              <w:t>特色农业</w:t>
            </w:r>
            <w:r>
              <w:rPr>
                <w:rFonts w:hint="eastAsia" w:ascii="仿宋_GB2312" w:hAnsi="仿宋_GB2312" w:eastAsia="仿宋_GB2312" w:cs="仿宋_GB2312"/>
                <w:color w:val="000000" w:themeColor="text1"/>
                <w:sz w:val="24"/>
                <w:szCs w:val="24"/>
                <w14:textFill>
                  <w14:solidFill>
                    <w14:schemeClr w14:val="tx1"/>
                  </w14:solidFill>
                </w14:textFill>
              </w:rPr>
              <w:t>创新发展。</w:t>
            </w:r>
            <w:r>
              <w:rPr>
                <w:rFonts w:hint="eastAsia" w:ascii="仿宋_GB2312" w:hAnsi="仿宋_GB2312" w:eastAsia="仿宋_GB2312" w:cs="仿宋_GB2312"/>
                <w:b/>
                <w:bCs/>
                <w:color w:val="000000" w:themeColor="text1"/>
                <w:sz w:val="24"/>
                <w:szCs w:val="24"/>
                <w:lang w:val="zh-CN"/>
                <w14:textFill>
                  <w14:solidFill>
                    <w14:schemeClr w14:val="tx1"/>
                  </w14:solidFill>
                </w14:textFill>
              </w:rPr>
              <w:t>神木产业发展实验室创新创业合作基地：</w:t>
            </w:r>
            <w:r>
              <w:rPr>
                <w:rFonts w:hint="eastAsia" w:ascii="仿宋_GB2312" w:hAnsi="仿宋_GB2312" w:eastAsia="仿宋_GB2312" w:cs="仿宋_GB2312"/>
                <w:color w:val="000000" w:themeColor="text1"/>
                <w:sz w:val="24"/>
                <w:szCs w:val="24"/>
                <w:lang w:val="zh-CN"/>
                <w14:textFill>
                  <w14:solidFill>
                    <w14:schemeClr w14:val="tx1"/>
                  </w14:solidFill>
                </w14:textFill>
              </w:rPr>
              <w:t>在神木市区设立“神木产业发展实验室”。</w:t>
            </w:r>
            <w:r>
              <w:rPr>
                <w:rFonts w:hint="eastAsia" w:ascii="仿宋_GB2312" w:hAnsi="仿宋_GB2312" w:eastAsia="仿宋_GB2312" w:cs="仿宋_GB2312"/>
                <w:color w:val="000000" w:themeColor="text1"/>
                <w:sz w:val="24"/>
                <w:szCs w:val="24"/>
                <w14:textFill>
                  <w14:solidFill>
                    <w14:schemeClr w14:val="tx1"/>
                  </w14:solidFill>
                </w14:textFill>
              </w:rPr>
              <w:t>在京津冀、长三角、粤港澳大湾区建设飞地孵化器</w:t>
            </w:r>
            <w:r>
              <w:rPr>
                <w:rFonts w:hint="eastAsia" w:ascii="仿宋_GB2312" w:hAnsi="仿宋_GB2312" w:cs="仿宋_GB2312"/>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eastAsia="仿宋_GB2312" w:cs="Times New Roman"/>
                <w:color w:val="0000FF"/>
                <w:sz w:val="32"/>
                <w:szCs w:val="32"/>
                <w:lang w:val="en-US" w:eastAsia="zh-CN"/>
              </w:rPr>
            </w:pPr>
            <w:r>
              <w:rPr>
                <w:rFonts w:hint="eastAsia" w:ascii="楷体_GB2312" w:hAnsi="楷体_GB2312" w:eastAsia="楷体_GB2312" w:cs="楷体_GB2312"/>
                <w:b/>
                <w:bCs/>
                <w:color w:val="000000" w:themeColor="text1"/>
                <w:sz w:val="24"/>
                <w:szCs w:val="24"/>
                <w14:textFill>
                  <w14:solidFill>
                    <w14:schemeClr w14:val="tx1"/>
                  </w14:solidFill>
                </w14:textFill>
              </w:rPr>
              <w:t>N个</w:t>
            </w:r>
            <w:r>
              <w:rPr>
                <w:rFonts w:hint="eastAsia" w:ascii="楷体_GB2312" w:hAnsi="楷体_GB2312" w:eastAsia="楷体_GB2312" w:cs="楷体_GB2312"/>
                <w:b/>
                <w:bCs/>
                <w:color w:val="000000" w:themeColor="text1"/>
                <w:sz w:val="24"/>
                <w:szCs w:val="24"/>
                <w:lang w:eastAsia="zh-CN"/>
                <w14:textFill>
                  <w14:solidFill>
                    <w14:schemeClr w14:val="tx1"/>
                  </w14:solidFill>
                </w14:textFill>
              </w:rPr>
              <w:t>科创平台</w:t>
            </w:r>
            <w:r>
              <w:rPr>
                <w:rFonts w:hint="eastAsia" w:ascii="楷体_GB2312" w:hAnsi="楷体_GB2312" w:eastAsia="楷体_GB2312" w:cs="楷体_GB2312"/>
                <w:b/>
                <w:bCs/>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lang w:eastAsia="zh-CN"/>
                <w14:textFill>
                  <w14:solidFill>
                    <w14:schemeClr w14:val="tx1"/>
                  </w14:solidFill>
                </w14:textFill>
              </w:rPr>
              <w:t>陕煤煤炭清洁高效利用技术创新研究院</w:t>
            </w:r>
            <w:r>
              <w:rPr>
                <w:rFonts w:hint="eastAsia" w:ascii="仿宋_GB2312" w:hAnsi="仿宋_GB2312" w:cs="仿宋_GB2312"/>
                <w:color w:val="000000" w:themeColor="text1"/>
                <w:sz w:val="24"/>
                <w:szCs w:val="24"/>
                <w:lang w:eastAsia="zh-CN"/>
                <w14:textFill>
                  <w14:solidFill>
                    <w14:schemeClr w14:val="tx1"/>
                  </w14:solidFill>
                </w14:textFill>
              </w:rPr>
              <w:t>，职业技术学院应急管理学院，正德工业</w:t>
            </w:r>
            <w:r>
              <w:rPr>
                <w:rFonts w:hint="eastAsia" w:ascii="仿宋_GB2312" w:hAnsi="仿宋_GB2312" w:eastAsia="仿宋_GB2312" w:cs="仿宋_GB2312"/>
                <w:color w:val="000000" w:themeColor="text1"/>
                <w:sz w:val="24"/>
                <w:szCs w:val="24"/>
                <w:lang w:eastAsia="zh-CN"/>
                <w14:textFill>
                  <w14:solidFill>
                    <w14:schemeClr w14:val="tx1"/>
                  </w14:solidFill>
                </w14:textFill>
              </w:rPr>
              <w:t>固废</w:t>
            </w:r>
            <w:r>
              <w:rPr>
                <w:rFonts w:hint="eastAsia" w:ascii="仿宋_GB2312" w:hAnsi="仿宋_GB2312" w:cs="仿宋_GB2312"/>
                <w:color w:val="000000" w:themeColor="text1"/>
                <w:sz w:val="24"/>
                <w:szCs w:val="24"/>
                <w:lang w:eastAsia="zh-CN"/>
                <w14:textFill>
                  <w14:solidFill>
                    <w14:schemeClr w14:val="tx1"/>
                  </w14:solidFill>
                </w14:textFill>
              </w:rPr>
              <w:t>技术</w:t>
            </w:r>
            <w:r>
              <w:rPr>
                <w:rFonts w:hint="eastAsia" w:ascii="仿宋_GB2312" w:hAnsi="仿宋_GB2312" w:eastAsia="仿宋_GB2312" w:cs="仿宋_GB2312"/>
                <w:color w:val="000000" w:themeColor="text1"/>
                <w:sz w:val="24"/>
                <w:szCs w:val="24"/>
                <w:lang w:eastAsia="zh-CN"/>
                <w14:textFill>
                  <w14:solidFill>
                    <w14:schemeClr w14:val="tx1"/>
                  </w14:solidFill>
                </w14:textFill>
              </w:rPr>
              <w:t>研究院</w:t>
            </w:r>
            <w:r>
              <w:rPr>
                <w:rFonts w:hint="eastAsia" w:ascii="仿宋_GB2312" w:hAnsi="仿宋_GB2312" w:cs="仿宋_GB2312"/>
                <w:color w:val="000000" w:themeColor="text1"/>
                <w:sz w:val="24"/>
                <w:szCs w:val="24"/>
                <w:lang w:eastAsia="zh-CN"/>
                <w14:textFill>
                  <w14:solidFill>
                    <w14:schemeClr w14:val="tx1"/>
                  </w14:solidFill>
                </w14:textFill>
              </w:rPr>
              <w:t>，经开区生产力促进中心，北元化工</w:t>
            </w:r>
            <w:r>
              <w:rPr>
                <w:rFonts w:hint="eastAsia" w:ascii="仿宋_GB2312" w:hAnsi="仿宋_GB2312" w:eastAsia="仿宋_GB2312" w:cs="仿宋_GB2312"/>
                <w:color w:val="000000" w:themeColor="text1"/>
                <w:sz w:val="24"/>
                <w:szCs w:val="24"/>
                <w:lang w:eastAsia="zh-CN"/>
                <w14:textFill>
                  <w14:solidFill>
                    <w14:schemeClr w14:val="tx1"/>
                  </w14:solidFill>
                </w14:textFill>
              </w:rPr>
              <w:t>聚氯乙烯产业</w:t>
            </w:r>
            <w:r>
              <w:rPr>
                <w:rFonts w:hint="eastAsia" w:ascii="仿宋_GB2312" w:hAnsi="仿宋_GB2312" w:cs="仿宋_GB2312"/>
                <w:color w:val="000000" w:themeColor="text1"/>
                <w:sz w:val="24"/>
                <w:szCs w:val="24"/>
                <w:lang w:eastAsia="zh-CN"/>
                <w14:textFill>
                  <w14:solidFill>
                    <w14:schemeClr w14:val="tx1"/>
                  </w14:solidFill>
                </w14:textFill>
              </w:rPr>
              <w:t>技术研究中心，</w:t>
            </w:r>
            <w:r>
              <w:rPr>
                <w:rFonts w:hint="eastAsia" w:ascii="仿宋_GB2312" w:hAnsi="仿宋_GB2312" w:eastAsia="仿宋_GB2312" w:cs="仿宋_GB2312"/>
                <w:color w:val="000000" w:themeColor="text1"/>
                <w:sz w:val="24"/>
                <w:szCs w:val="24"/>
                <w:lang w:eastAsia="zh-CN"/>
                <w14:textFill>
                  <w14:solidFill>
                    <w14:schemeClr w14:val="tx1"/>
                  </w14:solidFill>
                </w14:textFill>
              </w:rPr>
              <w:t>三江煤化工兰炭技术研究中心</w:t>
            </w:r>
            <w:r>
              <w:rPr>
                <w:rFonts w:hint="eastAsia" w:ascii="仿宋_GB2312" w:hAnsi="仿宋_GB2312" w:cs="仿宋_GB2312"/>
                <w:color w:val="000000" w:themeColor="text1"/>
                <w:sz w:val="24"/>
                <w:szCs w:val="24"/>
                <w:lang w:eastAsia="zh-CN"/>
                <w14:textFill>
                  <w14:solidFill>
                    <w14:schemeClr w14:val="tx1"/>
                  </w14:solidFill>
                </w14:textFill>
              </w:rPr>
              <w:t>，东风镁业工程技术研究中心，</w:t>
            </w:r>
            <w:r>
              <w:rPr>
                <w:rFonts w:hint="eastAsia" w:ascii="仿宋_GB2312" w:hAnsi="仿宋_GB2312" w:eastAsia="仿宋_GB2312" w:cs="仿宋_GB2312"/>
                <w:color w:val="000000" w:themeColor="text1"/>
                <w:sz w:val="24"/>
                <w:szCs w:val="24"/>
                <w:lang w:eastAsia="zh-CN"/>
                <w14:textFill>
                  <w14:solidFill>
                    <w14:schemeClr w14:val="tx1"/>
                  </w14:solidFill>
                </w14:textFill>
              </w:rPr>
              <w:t>泰合利华柔性显示新材料高端利用</w:t>
            </w:r>
            <w:r>
              <w:rPr>
                <w:rFonts w:hint="eastAsia" w:ascii="仿宋_GB2312" w:hAnsi="仿宋_GB2312" w:cs="仿宋_GB2312"/>
                <w:color w:val="000000" w:themeColor="text1"/>
                <w:sz w:val="24"/>
                <w:szCs w:val="24"/>
                <w:lang w:eastAsia="zh-CN"/>
                <w14:textFill>
                  <w14:solidFill>
                    <w14:schemeClr w14:val="tx1"/>
                  </w14:solidFill>
                </w14:textFill>
              </w:rPr>
              <w:t>技术研究中心，</w:t>
            </w:r>
            <w:r>
              <w:rPr>
                <w:rFonts w:hint="eastAsia" w:ascii="仿宋_GB2312" w:hAnsi="仿宋_GB2312" w:eastAsia="仿宋_GB2312" w:cs="仿宋_GB2312"/>
                <w:color w:val="000000" w:themeColor="text1"/>
                <w:sz w:val="24"/>
                <w:szCs w:val="24"/>
                <w:lang w:eastAsia="zh-CN"/>
                <w14:textFill>
                  <w14:solidFill>
                    <w14:schemeClr w14:val="tx1"/>
                  </w14:solidFill>
                </w14:textFill>
              </w:rPr>
              <w:t>德康健中药材</w:t>
            </w:r>
            <w:r>
              <w:rPr>
                <w:rFonts w:hint="eastAsia" w:ascii="仿宋_GB2312" w:hAnsi="仿宋_GB2312" w:cs="仿宋_GB2312"/>
                <w:color w:val="000000" w:themeColor="text1"/>
                <w:sz w:val="24"/>
                <w:szCs w:val="24"/>
                <w:lang w:eastAsia="zh-CN"/>
                <w14:textFill>
                  <w14:solidFill>
                    <w14:schemeClr w14:val="tx1"/>
                  </w14:solidFill>
                </w14:textFill>
              </w:rPr>
              <w:t>技术研究中心，</w:t>
            </w:r>
            <w:r>
              <w:rPr>
                <w:rFonts w:hint="eastAsia" w:ascii="仿宋_GB2312" w:hAnsi="仿宋_GB2312" w:eastAsia="仿宋_GB2312" w:cs="仿宋_GB2312"/>
                <w:color w:val="000000" w:themeColor="text1"/>
                <w:sz w:val="24"/>
                <w:szCs w:val="24"/>
                <w:lang w:eastAsia="zh-CN"/>
                <w14:textFill>
                  <w14:solidFill>
                    <w14:schemeClr w14:val="tx1"/>
                  </w14:solidFill>
                </w14:textFill>
              </w:rPr>
              <w:t>“煤亮子”</w:t>
            </w:r>
            <w:r>
              <w:rPr>
                <w:rFonts w:hint="eastAsia" w:ascii="仿宋_GB2312" w:hAnsi="仿宋_GB2312" w:cs="仿宋_GB2312"/>
                <w:color w:val="000000" w:themeColor="text1"/>
                <w:sz w:val="24"/>
                <w:szCs w:val="24"/>
                <w:lang w:eastAsia="zh-CN"/>
                <w14:textFill>
                  <w14:solidFill>
                    <w14:schemeClr w14:val="tx1"/>
                  </w14:solidFill>
                </w14:textFill>
              </w:rPr>
              <w:t>基础工业互联网平台。</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2" w:name="_Toc9364"/>
      <w:r>
        <w:rPr>
          <w:rFonts w:hint="eastAsia" w:ascii="楷体_GB2312" w:hAnsi="楷体_GB2312" w:eastAsia="楷体_GB2312" w:cs="楷体_GB2312"/>
          <w:bCs/>
          <w:sz w:val="32"/>
          <w:szCs w:val="32"/>
        </w:rPr>
        <w:t>第三节 强化企业创新主体地位</w:t>
      </w:r>
      <w:bookmarkEnd w:id="12"/>
    </w:p>
    <w:p>
      <w:pPr>
        <w:keepNext w:val="0"/>
        <w:keepLines w:val="0"/>
        <w:pageBreakBefore w:val="0"/>
        <w:widowControl w:val="0"/>
        <w:kinsoku/>
        <w:wordWrap/>
        <w:overflowPunct/>
        <w:topLinePunct w:val="0"/>
        <w:autoSpaceDE/>
        <w:autoSpaceDN/>
        <w:bidi w:val="0"/>
        <w:adjustRightInd/>
        <w:snapToGrid/>
        <w:spacing w:line="570" w:lineRule="exact"/>
        <w:ind w:firstLine="640"/>
        <w:jc w:val="both"/>
        <w:textAlignment w:val="auto"/>
        <w:rPr>
          <w:rFonts w:cs="Times New Roman"/>
          <w:sz w:val="32"/>
          <w:szCs w:val="32"/>
        </w:rPr>
      </w:pPr>
      <w:r>
        <w:rPr>
          <w:rFonts w:cs="Times New Roman"/>
          <w:sz w:val="32"/>
          <w:szCs w:val="32"/>
        </w:rPr>
        <w:t>坚持“企业为主体、市场为导向、产学研相结合”的原则，强化企业创新主体地位，促进创新要素向企业集聚，引进、培育、发展一批创新型领军企业。</w:t>
      </w:r>
    </w:p>
    <w:p>
      <w:pPr>
        <w:keepNext w:val="0"/>
        <w:keepLines w:val="0"/>
        <w:pageBreakBefore w:val="0"/>
        <w:widowControl w:val="0"/>
        <w:kinsoku/>
        <w:wordWrap/>
        <w:overflowPunct/>
        <w:topLinePunct w:val="0"/>
        <w:autoSpaceDE/>
        <w:autoSpaceDN/>
        <w:bidi w:val="0"/>
        <w:adjustRightInd/>
        <w:snapToGrid/>
        <w:spacing w:line="570" w:lineRule="exact"/>
        <w:ind w:firstLine="640"/>
        <w:jc w:val="both"/>
        <w:textAlignment w:val="auto"/>
        <w:rPr>
          <w:rFonts w:cs="Times New Roman"/>
          <w:color w:val="FF0000"/>
          <w:sz w:val="32"/>
          <w:szCs w:val="32"/>
        </w:rPr>
      </w:pPr>
      <w:r>
        <w:rPr>
          <w:rFonts w:cs="Times New Roman"/>
          <w:b/>
          <w:bCs/>
          <w:sz w:val="32"/>
          <w:szCs w:val="32"/>
        </w:rPr>
        <w:t>培育科技创新主体。</w:t>
      </w:r>
      <w:r>
        <w:rPr>
          <w:rFonts w:cs="Times New Roman"/>
          <w:sz w:val="32"/>
          <w:szCs w:val="32"/>
        </w:rPr>
        <w:t>实施专精特新中小企业培育工程，形成以初创企业、科技型中小企业为基础，高新技术企业为支撑，瞪羚企业、独角兽企业为引领的企业全生命周期梯度培育链条。支持骨干企业与科研院所联合共建研发平台、技术中心和分支机构。支持涉农</w:t>
      </w:r>
      <w:r>
        <w:rPr>
          <w:rFonts w:hint="eastAsia" w:cs="Times New Roman"/>
          <w:sz w:val="32"/>
          <w:szCs w:val="32"/>
          <w:lang w:val="en-US" w:eastAsia="zh-CN"/>
        </w:rPr>
        <w:t>经营主体</w:t>
      </w:r>
      <w:r>
        <w:rPr>
          <w:rFonts w:cs="Times New Roman"/>
          <w:sz w:val="32"/>
          <w:szCs w:val="32"/>
        </w:rPr>
        <w:t>积极</w:t>
      </w:r>
      <w:r>
        <w:rPr>
          <w:rFonts w:hint="eastAsia" w:cs="Times New Roman"/>
          <w:sz w:val="32"/>
          <w:szCs w:val="32"/>
          <w:lang w:val="en-US" w:eastAsia="zh-CN"/>
        </w:rPr>
        <w:t>融入</w:t>
      </w:r>
      <w:r>
        <w:rPr>
          <w:rFonts w:cs="Times New Roman"/>
          <w:sz w:val="32"/>
          <w:szCs w:val="32"/>
        </w:rPr>
        <w:t>“100+N”开放协同创新体系，开展跨界融合、协同创新。到2025年，高新技术企业</w:t>
      </w:r>
      <w:r>
        <w:rPr>
          <w:rFonts w:hint="eastAsia" w:cs="Times New Roman"/>
          <w:sz w:val="32"/>
          <w:szCs w:val="32"/>
          <w:lang w:eastAsia="zh-CN"/>
        </w:rPr>
        <w:t>总数达</w:t>
      </w:r>
      <w:r>
        <w:rPr>
          <w:rFonts w:hint="eastAsia" w:cs="Times New Roman"/>
          <w:sz w:val="32"/>
          <w:szCs w:val="32"/>
          <w:lang w:val="en-US" w:eastAsia="zh-CN"/>
        </w:rPr>
        <w:t>50</w:t>
      </w:r>
      <w:r>
        <w:rPr>
          <w:rFonts w:cs="Times New Roman"/>
          <w:sz w:val="32"/>
          <w:szCs w:val="32"/>
        </w:rPr>
        <w:t>家</w:t>
      </w:r>
      <w:r>
        <w:rPr>
          <w:rFonts w:hint="eastAsia" w:cs="Times New Roman"/>
          <w:sz w:val="32"/>
          <w:szCs w:val="32"/>
          <w:lang w:eastAsia="zh-CN"/>
        </w:rPr>
        <w:t>以上，</w:t>
      </w:r>
      <w:r>
        <w:rPr>
          <w:rFonts w:cs="Times New Roman"/>
          <w:sz w:val="32"/>
          <w:szCs w:val="32"/>
        </w:rPr>
        <w:t>新增瞪羚企业</w:t>
      </w:r>
      <w:r>
        <w:rPr>
          <w:rFonts w:hint="eastAsia" w:cs="Times New Roman"/>
          <w:sz w:val="32"/>
          <w:szCs w:val="32"/>
          <w:lang w:val="en-US" w:eastAsia="zh-CN"/>
        </w:rPr>
        <w:t>10</w:t>
      </w:r>
      <w:r>
        <w:rPr>
          <w:rFonts w:cs="Times New Roman"/>
          <w:sz w:val="32"/>
          <w:szCs w:val="32"/>
        </w:rPr>
        <w:t>家</w:t>
      </w:r>
      <w:r>
        <w:rPr>
          <w:rFonts w:hint="eastAsia" w:cs="Times New Roman"/>
          <w:sz w:val="32"/>
          <w:szCs w:val="32"/>
          <w:lang w:val="en-US" w:eastAsia="zh-CN"/>
        </w:rPr>
        <w:t>以上</w:t>
      </w:r>
      <w:r>
        <w:rPr>
          <w:rFonts w:cs="Times New Roman"/>
          <w:sz w:val="32"/>
          <w:szCs w:val="32"/>
        </w:rPr>
        <w:t>，</w:t>
      </w:r>
      <w:r>
        <w:rPr>
          <w:rFonts w:cs="Times New Roman"/>
          <w:sz w:val="32"/>
          <w:szCs w:val="32"/>
          <w:lang w:val="en-US" w:eastAsia="zh-CN"/>
        </w:rPr>
        <w:t>认定创新龙头企业</w:t>
      </w:r>
      <w:r>
        <w:rPr>
          <w:rFonts w:hint="eastAsia" w:cs="Times New Roman"/>
          <w:sz w:val="32"/>
          <w:szCs w:val="32"/>
          <w:lang w:val="en-US" w:eastAsia="zh-CN"/>
        </w:rPr>
        <w:t>5</w:t>
      </w:r>
      <w:r>
        <w:rPr>
          <w:rFonts w:cs="Times New Roman"/>
          <w:sz w:val="32"/>
          <w:szCs w:val="32"/>
          <w:lang w:val="en-US" w:eastAsia="zh-CN"/>
        </w:rPr>
        <w:t>家</w:t>
      </w:r>
      <w:r>
        <w:rPr>
          <w:rFonts w:hint="eastAsia" w:cs="Times New Roman"/>
          <w:sz w:val="32"/>
          <w:szCs w:val="32"/>
          <w:lang w:val="en-US" w:eastAsia="zh-CN"/>
        </w:rPr>
        <w:t>以上，力争</w:t>
      </w:r>
      <w:r>
        <w:rPr>
          <w:rFonts w:hint="eastAsia" w:cs="Times New Roman"/>
          <w:sz w:val="32"/>
          <w:szCs w:val="32"/>
          <w:lang w:eastAsia="zh-CN"/>
        </w:rPr>
        <w:t>独角兽企业</w:t>
      </w:r>
      <w:r>
        <w:rPr>
          <w:rFonts w:hint="eastAsia" w:cs="Times New Roman"/>
          <w:sz w:val="32"/>
          <w:szCs w:val="32"/>
          <w:lang w:val="en-US" w:eastAsia="zh-CN"/>
        </w:rPr>
        <w:t>培育和科</w:t>
      </w:r>
      <w:r>
        <w:rPr>
          <w:rFonts w:cs="Times New Roman"/>
          <w:sz w:val="32"/>
          <w:szCs w:val="32"/>
        </w:rPr>
        <w:t>技型企业上市实现零突破。</w:t>
      </w:r>
    </w:p>
    <w:p>
      <w:pPr>
        <w:keepNext w:val="0"/>
        <w:keepLines w:val="0"/>
        <w:pageBreakBefore w:val="0"/>
        <w:widowControl/>
        <w:suppressLineNumbers w:val="0"/>
        <w:kinsoku/>
        <w:wordWrap/>
        <w:overflowPunct/>
        <w:topLinePunct w:val="0"/>
        <w:autoSpaceDE/>
        <w:autoSpaceDN/>
        <w:bidi w:val="0"/>
        <w:spacing w:line="570" w:lineRule="exact"/>
        <w:jc w:val="both"/>
        <w:textAlignment w:val="auto"/>
        <w:rPr>
          <w:rFonts w:cs="Times New Roman"/>
          <w:sz w:val="32"/>
          <w:szCs w:val="32"/>
        </w:rPr>
      </w:pPr>
      <w:r>
        <w:rPr>
          <w:rFonts w:cs="Times New Roman"/>
          <w:b/>
          <w:bCs/>
          <w:sz w:val="32"/>
          <w:szCs w:val="32"/>
        </w:rPr>
        <w:t>引导企业加大科创投入。</w:t>
      </w:r>
      <w:r>
        <w:rPr>
          <w:rFonts w:cs="Times New Roman"/>
          <w:sz w:val="32"/>
          <w:szCs w:val="32"/>
        </w:rPr>
        <w:t>充分发挥驻神国有大中型企业的创新引领作用，利用市场化手段激发企业创新投入，引导全市法人企业主动承担科研责任。支持企业通过并购重组、委托开发和购买知识产权等方式，提升企业核心科技竞争力。</w:t>
      </w:r>
      <w:r>
        <w:rPr>
          <w:rFonts w:hint="eastAsia" w:cs="Times New Roman"/>
          <w:sz w:val="32"/>
          <w:szCs w:val="32"/>
          <w:lang w:val="en-US" w:eastAsia="zh-CN"/>
        </w:rPr>
        <w:t>制定出台创新驱动发展实施意见，</w:t>
      </w:r>
      <w:r>
        <w:rPr>
          <w:rFonts w:cs="Times New Roman"/>
          <w:sz w:val="32"/>
          <w:szCs w:val="32"/>
        </w:rPr>
        <w:t>建立企业技术研发准备金和业绩考核制度，落实企业科技项目研发经费投入后补助、企业研发税前加计扣除、高新技术企业所得税减免等政策。</w:t>
      </w:r>
      <w:r>
        <w:rPr>
          <w:rFonts w:cs="Times New Roman"/>
          <w:sz w:val="32"/>
          <w:szCs w:val="32"/>
          <w:lang w:val="en-US" w:eastAsia="zh-CN"/>
        </w:rPr>
        <w:t>力争到</w:t>
      </w:r>
      <w:r>
        <w:rPr>
          <w:rFonts w:hint="eastAsia" w:cs="Times New Roman"/>
          <w:sz w:val="32"/>
          <w:szCs w:val="32"/>
          <w:lang w:val="en-US" w:eastAsia="zh-CN"/>
        </w:rPr>
        <w:t>2025</w:t>
      </w:r>
      <w:r>
        <w:rPr>
          <w:rFonts w:cs="Times New Roman"/>
          <w:sz w:val="32"/>
          <w:szCs w:val="32"/>
          <w:lang w:val="en-US" w:eastAsia="zh-CN"/>
        </w:rPr>
        <w:t>年规模以上工业企业有研发活动比例达到</w:t>
      </w:r>
      <w:r>
        <w:rPr>
          <w:rFonts w:hint="eastAsia" w:cs="Times New Roman"/>
          <w:sz w:val="32"/>
          <w:szCs w:val="32"/>
          <w:lang w:val="en-US" w:eastAsia="zh-CN"/>
        </w:rPr>
        <w:t>20%</w:t>
      </w:r>
      <w:r>
        <w:rPr>
          <w:rFonts w:cs="Times New Roman"/>
          <w:sz w:val="32"/>
          <w:szCs w:val="32"/>
          <w:lang w:val="en-US" w:eastAsia="zh-CN"/>
        </w:rPr>
        <w:t>以上</w:t>
      </w:r>
      <w:r>
        <w:rPr>
          <w:rFonts w:hint="eastAsia" w:cs="Times New Roman"/>
          <w:sz w:val="32"/>
          <w:szCs w:val="32"/>
          <w:lang w:val="en-US" w:eastAsia="zh-CN"/>
        </w:rPr>
        <w:t>，规上</w:t>
      </w:r>
      <w:r>
        <w:rPr>
          <w:rFonts w:cs="Times New Roman"/>
          <w:sz w:val="32"/>
          <w:szCs w:val="32"/>
        </w:rPr>
        <w:t>企业研发</w:t>
      </w:r>
      <w:r>
        <w:rPr>
          <w:rFonts w:hint="eastAsia" w:cs="Times New Roman"/>
          <w:sz w:val="32"/>
          <w:szCs w:val="32"/>
          <w:lang w:val="en-US" w:eastAsia="zh-CN"/>
        </w:rPr>
        <w:t>投入内部</w:t>
      </w:r>
      <w:r>
        <w:rPr>
          <w:rFonts w:cs="Times New Roman"/>
          <w:sz w:val="32"/>
          <w:szCs w:val="32"/>
        </w:rPr>
        <w:t>支出</w:t>
      </w:r>
      <w:r>
        <w:rPr>
          <w:rFonts w:hint="eastAsia" w:cs="Times New Roman"/>
          <w:sz w:val="32"/>
          <w:szCs w:val="32"/>
          <w:lang w:val="en-US" w:eastAsia="zh-CN"/>
        </w:rPr>
        <w:t>占主营收入</w:t>
      </w:r>
      <w:r>
        <w:rPr>
          <w:rFonts w:cs="Times New Roman"/>
          <w:sz w:val="32"/>
          <w:szCs w:val="32"/>
        </w:rPr>
        <w:t>比重达</w:t>
      </w:r>
      <w:r>
        <w:rPr>
          <w:rFonts w:hint="eastAsia" w:cs="Times New Roman"/>
          <w:sz w:val="32"/>
          <w:szCs w:val="32"/>
          <w:lang w:val="en-US" w:eastAsia="zh-CN"/>
        </w:rPr>
        <w:t>2</w:t>
      </w:r>
      <w:r>
        <w:rPr>
          <w:rFonts w:cs="Times New Roman"/>
          <w:sz w:val="32"/>
          <w:szCs w:val="32"/>
        </w:rPr>
        <w:t>%以上。</w:t>
      </w:r>
    </w:p>
    <w:p>
      <w:pPr>
        <w:keepNext w:val="0"/>
        <w:keepLines w:val="0"/>
        <w:pageBreakBefore w:val="0"/>
        <w:widowControl w:val="0"/>
        <w:kinsoku/>
        <w:wordWrap/>
        <w:overflowPunct/>
        <w:topLinePunct w:val="0"/>
        <w:autoSpaceDE/>
        <w:autoSpaceDN/>
        <w:bidi w:val="0"/>
        <w:spacing w:line="570" w:lineRule="exact"/>
        <w:ind w:firstLine="640"/>
        <w:jc w:val="both"/>
        <w:textAlignment w:val="auto"/>
        <w:rPr>
          <w:rFonts w:cs="Times New Roman"/>
          <w:sz w:val="32"/>
          <w:szCs w:val="32"/>
        </w:rPr>
      </w:pPr>
      <w:r>
        <w:rPr>
          <w:rFonts w:cs="Times New Roman"/>
          <w:b/>
          <w:bCs/>
          <w:sz w:val="32"/>
          <w:szCs w:val="32"/>
        </w:rPr>
        <w:t>支持企业开展核心技术攻关</w:t>
      </w:r>
      <w:r>
        <w:rPr>
          <w:rFonts w:eastAsia="仿宋" w:cs="Times New Roman"/>
          <w:b/>
          <w:bCs/>
          <w:sz w:val="32"/>
          <w:szCs w:val="32"/>
        </w:rPr>
        <w:t>。</w:t>
      </w:r>
      <w:r>
        <w:rPr>
          <w:rFonts w:cs="Times New Roman"/>
          <w:sz w:val="32"/>
          <w:szCs w:val="32"/>
        </w:rPr>
        <w:t>充分利用科创专项资金，加快建设一批院士工作站和创业孵化中心，推行重大科技项目“揭榜挂帅”、科研经费“包干制”等制度。</w:t>
      </w:r>
      <w:r>
        <w:rPr>
          <w:rFonts w:hint="eastAsia" w:cs="Times New Roman"/>
          <w:sz w:val="32"/>
          <w:szCs w:val="32"/>
          <w:lang w:val="en-US" w:eastAsia="zh-CN"/>
        </w:rPr>
        <w:t>积极与清华大学、中国矿大、上海交大、西农大等高等院校开展合作，</w:t>
      </w:r>
      <w:r>
        <w:rPr>
          <w:rFonts w:cs="Times New Roman"/>
          <w:sz w:val="32"/>
          <w:szCs w:val="32"/>
        </w:rPr>
        <w:t>推动兰炭废水处理</w:t>
      </w:r>
      <w:r>
        <w:rPr>
          <w:rFonts w:hint="eastAsia" w:cs="Times New Roman"/>
          <w:sz w:val="32"/>
          <w:szCs w:val="32"/>
          <w:lang w:eastAsia="zh-CN"/>
        </w:rPr>
        <w:t>、</w:t>
      </w:r>
      <w:r>
        <w:rPr>
          <w:rFonts w:cs="Times New Roman"/>
          <w:sz w:val="32"/>
          <w:szCs w:val="32"/>
        </w:rPr>
        <w:t>高纯镁</w:t>
      </w:r>
      <w:r>
        <w:rPr>
          <w:rFonts w:hint="eastAsia" w:cs="Times New Roman"/>
          <w:sz w:val="32"/>
          <w:szCs w:val="32"/>
          <w:lang w:eastAsia="zh-CN"/>
        </w:rPr>
        <w:t>加工</w:t>
      </w:r>
      <w:r>
        <w:rPr>
          <w:rFonts w:hint="eastAsia" w:cs="Times New Roman"/>
          <w:sz w:val="32"/>
          <w:szCs w:val="32"/>
          <w:lang w:val="en-US" w:eastAsia="zh-CN"/>
        </w:rPr>
        <w:t>和现代农业</w:t>
      </w:r>
      <w:r>
        <w:rPr>
          <w:rFonts w:cs="Times New Roman"/>
          <w:sz w:val="32"/>
          <w:szCs w:val="32"/>
        </w:rPr>
        <w:t>技术攻关</w:t>
      </w:r>
      <w:r>
        <w:rPr>
          <w:rFonts w:hint="eastAsia" w:cs="Times New Roman"/>
          <w:sz w:val="32"/>
          <w:szCs w:val="32"/>
          <w:lang w:eastAsia="zh-CN"/>
        </w:rPr>
        <w:t>，</w:t>
      </w:r>
      <w:r>
        <w:rPr>
          <w:rFonts w:cs="Times New Roman"/>
          <w:sz w:val="32"/>
          <w:szCs w:val="32"/>
        </w:rPr>
        <w:t>实施国富炉、浙大双循环流化床、中科院固体热载体热解等一批重大科技试验示范项目。支持企业积极承担中省市重大科技攻关项目，促进研发成果在神木落地转化。</w:t>
      </w:r>
    </w:p>
    <w:tbl>
      <w:tblPr>
        <w:tblStyle w:val="25"/>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5" w:hRule="atLeast"/>
        </w:trPr>
        <w:tc>
          <w:tcPr>
            <w:tcW w:w="8346" w:type="dxa"/>
          </w:tcPr>
          <w:p>
            <w:pPr>
              <w:spacing w:line="440" w:lineRule="exact"/>
              <w:ind w:firstLine="0" w:firstLineChars="0"/>
              <w:jc w:val="left"/>
              <w:rPr>
                <w:rFonts w:hint="eastAsia" w:ascii="黑体" w:hAnsi="黑体" w:eastAsia="黑体" w:cs="黑体"/>
                <w:sz w:val="24"/>
                <w:szCs w:val="24"/>
                <w:lang w:eastAsia="zh-CN"/>
              </w:rPr>
            </w:pPr>
            <w:r>
              <w:rPr>
                <w:rFonts w:hint="eastAsia" w:ascii="黑体" w:hAnsi="黑体" w:eastAsia="黑体" w:cs="黑体"/>
                <w:sz w:val="24"/>
                <w:szCs w:val="24"/>
              </w:rPr>
              <w:t>专栏2</w:t>
            </w:r>
            <w:r>
              <w:rPr>
                <w:rFonts w:hint="eastAsia" w:ascii="黑体" w:hAnsi="黑体" w:eastAsia="黑体" w:cs="黑体"/>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eastAsia="黑体" w:cs="Times New Roman"/>
                <w:color w:val="000000" w:themeColor="text1"/>
                <w:sz w:val="28"/>
                <w:szCs w:val="28"/>
                <w:lang w:eastAsia="zh-CN"/>
                <w14:textFill>
                  <w14:solidFill>
                    <w14:schemeClr w14:val="tx1"/>
                  </w14:solidFill>
                </w14:textFill>
              </w:rPr>
            </w:pPr>
            <w:r>
              <w:rPr>
                <w:rFonts w:hint="eastAsia" w:eastAsia="黑体" w:cs="Times New Roman"/>
                <w:color w:val="000000" w:themeColor="text1"/>
                <w:sz w:val="28"/>
                <w:szCs w:val="28"/>
                <w:lang w:val="en-US" w:eastAsia="zh-CN"/>
                <w14:textFill>
                  <w14:solidFill>
                    <w14:schemeClr w14:val="tx1"/>
                  </w14:solidFill>
                </w14:textFill>
              </w:rPr>
              <w:t xml:space="preserve"> </w:t>
            </w:r>
            <w:r>
              <w:rPr>
                <w:rFonts w:eastAsia="黑体" w:cs="Times New Roman"/>
                <w:color w:val="000000" w:themeColor="text1"/>
                <w:sz w:val="28"/>
                <w:szCs w:val="28"/>
                <w14:textFill>
                  <w14:solidFill>
                    <w14:schemeClr w14:val="tx1"/>
                  </w14:solidFill>
                </w14:textFill>
              </w:rPr>
              <w:t>重大科</w:t>
            </w:r>
            <w:r>
              <w:rPr>
                <w:rFonts w:hint="eastAsia" w:eastAsia="黑体" w:cs="Times New Roman"/>
                <w:color w:val="000000" w:themeColor="text1"/>
                <w:sz w:val="28"/>
                <w:szCs w:val="28"/>
                <w:lang w:eastAsia="zh-CN"/>
                <w14:textFill>
                  <w14:solidFill>
                    <w14:schemeClr w14:val="tx1"/>
                  </w14:solidFill>
                </w14:textFill>
              </w:rPr>
              <w:t>创工程</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left"/>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高端装备制造与智能制造产业：</w:t>
            </w:r>
            <w:r>
              <w:rPr>
                <w:rFonts w:hint="eastAsia" w:ascii="仿宋_GB2312" w:hAnsi="仿宋_GB2312" w:eastAsia="仿宋_GB2312" w:cs="仿宋_GB2312"/>
                <w:color w:val="000000" w:themeColor="text1"/>
                <w:sz w:val="24"/>
                <w:szCs w:val="24"/>
                <w14:textFill>
                  <w14:solidFill>
                    <w14:schemeClr w14:val="tx1"/>
                  </w14:solidFill>
                </w14:textFill>
              </w:rPr>
              <w:t>废弃物处置技术装备，无人智能系统</w:t>
            </w:r>
            <w:r>
              <w:rPr>
                <w:rFonts w:hint="eastAsia" w:ascii="仿宋_GB2312" w:hAnsi="仿宋_GB2312" w:cs="仿宋_GB2312"/>
                <w:color w:val="000000" w:themeColor="text1"/>
                <w:sz w:val="24"/>
                <w:szCs w:val="24"/>
                <w:lang w:eastAsia="zh-CN"/>
                <w14:textFill>
                  <w14:solidFill>
                    <w14:schemeClr w14:val="tx1"/>
                  </w14:solidFill>
                </w14:textFill>
              </w:rPr>
              <w:t>研发</w:t>
            </w:r>
            <w:r>
              <w:rPr>
                <w:rFonts w:hint="eastAsia" w:ascii="仿宋_GB2312" w:hAnsi="仿宋_GB2312" w:eastAsia="仿宋_GB2312" w:cs="仿宋_GB2312"/>
                <w:color w:val="000000" w:themeColor="text1"/>
                <w:sz w:val="24"/>
                <w:szCs w:val="24"/>
                <w14:textFill>
                  <w14:solidFill>
                    <w14:schemeClr w14:val="tx1"/>
                  </w14:solidFill>
                </w14:textFill>
              </w:rPr>
              <w:t>;煤矿自动化、智能化技术</w:t>
            </w:r>
            <w:r>
              <w:rPr>
                <w:rFonts w:hint="eastAsia" w:ascii="仿宋_GB2312" w:hAnsi="仿宋_GB2312" w:cs="仿宋_GB2312"/>
                <w:color w:val="000000" w:themeColor="text1"/>
                <w:sz w:val="24"/>
                <w:szCs w:val="24"/>
                <w:lang w:eastAsia="zh-CN"/>
                <w14:textFill>
                  <w14:solidFill>
                    <w14:schemeClr w14:val="tx1"/>
                  </w14:solidFill>
                </w14:textFill>
              </w:rPr>
              <w:t>研发。</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left"/>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能源产业：</w:t>
            </w:r>
            <w:r>
              <w:rPr>
                <w:rFonts w:hint="eastAsia" w:ascii="仿宋_GB2312" w:hAnsi="仿宋_GB2312" w:eastAsia="仿宋_GB2312" w:cs="仿宋_GB2312"/>
                <w:color w:val="000000" w:themeColor="text1"/>
                <w:sz w:val="24"/>
                <w:szCs w:val="24"/>
                <w14:textFill>
                  <w14:solidFill>
                    <w14:schemeClr w14:val="tx1"/>
                  </w14:solidFill>
                </w14:textFill>
              </w:rPr>
              <w:t>煤基碳材料和工业硅材料产业链延伸</w:t>
            </w:r>
            <w:r>
              <w:rPr>
                <w:rFonts w:hint="eastAsia" w:ascii="仿宋_GB2312" w:hAnsi="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煤炭</w:t>
            </w:r>
            <w:r>
              <w:rPr>
                <w:rFonts w:hint="eastAsia" w:ascii="仿宋_GB2312" w:hAnsi="仿宋_GB2312" w:cs="仿宋_GB2312"/>
                <w:color w:val="000000" w:themeColor="text1"/>
                <w:sz w:val="24"/>
                <w:szCs w:val="24"/>
                <w:lang w:eastAsia="zh-CN"/>
                <w14:textFill>
                  <w14:solidFill>
                    <w14:schemeClr w14:val="tx1"/>
                  </w14:solidFill>
                </w14:textFill>
              </w:rPr>
              <w:t>绿色开采</w:t>
            </w:r>
            <w:r>
              <w:rPr>
                <w:rFonts w:hint="eastAsia" w:ascii="仿宋_GB2312" w:hAnsi="仿宋_GB2312" w:eastAsia="仿宋_GB2312" w:cs="仿宋_GB2312"/>
                <w:color w:val="000000" w:themeColor="text1"/>
                <w:sz w:val="24"/>
                <w:szCs w:val="24"/>
                <w14:textFill>
                  <w14:solidFill>
                    <w14:schemeClr w14:val="tx1"/>
                  </w14:solidFill>
                </w14:textFill>
              </w:rPr>
              <w:t>及共伴生资源综合利用</w:t>
            </w:r>
            <w:r>
              <w:rPr>
                <w:rFonts w:hint="eastAsia" w:ascii="仿宋_GB2312" w:hAnsi="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多晶硅太阳能电池光伏产业，垃圾焚烧发电和风电产业再生能源产业技术研发；</w:t>
            </w:r>
            <w:r>
              <w:rPr>
                <w:rFonts w:hint="eastAsia" w:ascii="仿宋_GB2312" w:hAnsi="仿宋_GB2312" w:eastAsia="仿宋_GB2312" w:cs="仿宋_GB2312"/>
                <w:color w:val="000000" w:themeColor="text1"/>
                <w:kern w:val="2"/>
                <w:sz w:val="24"/>
                <w:szCs w:val="24"/>
                <w14:textFill>
                  <w14:solidFill>
                    <w14:schemeClr w14:val="tx1"/>
                  </w14:solidFill>
                </w14:textFill>
              </w:rPr>
              <w:t>煤炭资源</w:t>
            </w:r>
            <w:r>
              <w:rPr>
                <w:rFonts w:hint="eastAsia" w:ascii="仿宋_GB2312" w:hAnsi="仿宋_GB2312" w:eastAsia="仿宋_GB2312" w:cs="仿宋_GB2312"/>
                <w:color w:val="000000" w:themeColor="text1"/>
                <w:sz w:val="24"/>
                <w:szCs w:val="24"/>
                <w14:textFill>
                  <w14:solidFill>
                    <w14:schemeClr w14:val="tx1"/>
                  </w14:solidFill>
                </w14:textFill>
              </w:rPr>
              <w:t>清洁高效利用技术攻关</w:t>
            </w:r>
            <w:r>
              <w:rPr>
                <w:rFonts w:hint="eastAsia" w:ascii="仿宋_GB2312" w:hAnsi="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left"/>
              <w:textAlignment w:val="auto"/>
              <w:rPr>
                <w:rFonts w:hint="eastAsia" w:ascii="仿宋_GB2312" w:hAnsi="仿宋_GB2312" w:eastAsia="仿宋_GB2312" w:cs="仿宋_GB2312"/>
                <w:b/>
                <w:bCs/>
                <w:color w:val="000000" w:themeColor="text1"/>
                <w:sz w:val="24"/>
                <w:szCs w:val="24"/>
                <w:lang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新材料产业：</w:t>
            </w:r>
            <w:r>
              <w:rPr>
                <w:rFonts w:hint="eastAsia" w:ascii="仿宋_GB2312" w:hAnsi="仿宋_GB2312" w:eastAsia="仿宋_GB2312" w:cs="仿宋_GB2312"/>
                <w:color w:val="000000" w:themeColor="text1"/>
                <w:sz w:val="24"/>
                <w:szCs w:val="24"/>
                <w14:textFill>
                  <w14:solidFill>
                    <w14:schemeClr w14:val="tx1"/>
                  </w14:solidFill>
                </w14:textFill>
              </w:rPr>
              <w:t>柔性显示材料研究开发</w:t>
            </w:r>
            <w:r>
              <w:rPr>
                <w:rFonts w:hint="eastAsia" w:ascii="仿宋_GB2312" w:hAnsi="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相变纤维产品研发</w:t>
            </w:r>
            <w:r>
              <w:rPr>
                <w:rFonts w:hint="eastAsia" w:ascii="仿宋_GB2312" w:hAnsi="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石墨烯</w:t>
            </w:r>
            <w:r>
              <w:rPr>
                <w:rFonts w:hint="eastAsia" w:ascii="仿宋_GB2312" w:hAnsi="仿宋_GB2312" w:cs="仿宋_GB2312"/>
                <w:color w:val="000000" w:themeColor="text1"/>
                <w:sz w:val="24"/>
                <w:szCs w:val="24"/>
                <w:lang w:eastAsia="zh-CN"/>
                <w14:textFill>
                  <w14:solidFill>
                    <w14:schemeClr w14:val="tx1"/>
                  </w14:solidFill>
                </w14:textFill>
              </w:rPr>
              <w:t>生产及应用技术研发；金属镁提纯，</w:t>
            </w:r>
            <w:r>
              <w:rPr>
                <w:rFonts w:hint="eastAsia" w:ascii="仿宋_GB2312" w:hAnsi="仿宋_GB2312" w:eastAsia="仿宋_GB2312" w:cs="仿宋_GB2312"/>
                <w:color w:val="000000" w:themeColor="text1"/>
                <w:sz w:val="24"/>
                <w:szCs w:val="24"/>
                <w14:textFill>
                  <w14:solidFill>
                    <w14:schemeClr w14:val="tx1"/>
                  </w14:solidFill>
                </w14:textFill>
              </w:rPr>
              <w:t>镁合金精深加工</w:t>
            </w:r>
            <w:r>
              <w:rPr>
                <w:rFonts w:hint="eastAsia" w:ascii="仿宋_GB2312" w:hAnsi="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聚氯乙烯再加工</w:t>
            </w:r>
            <w:r>
              <w:rPr>
                <w:rFonts w:hint="eastAsia" w:ascii="仿宋_GB2312" w:hAnsi="仿宋_GB2312" w:cs="仿宋_GB2312"/>
                <w:color w:val="000000" w:themeColor="text1"/>
                <w:sz w:val="24"/>
                <w:szCs w:val="24"/>
                <w:lang w:eastAsia="zh-CN"/>
                <w14:textFill>
                  <w14:solidFill>
                    <w14:schemeClr w14:val="tx1"/>
                  </w14:solidFill>
                </w14:textFill>
              </w:rPr>
              <w:t>技术研发。</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生物医药产业：</w:t>
            </w:r>
            <w:r>
              <w:rPr>
                <w:rFonts w:hint="eastAsia" w:ascii="仿宋_GB2312" w:hAnsi="仿宋_GB2312" w:eastAsia="仿宋_GB2312" w:cs="仿宋_GB2312"/>
                <w:color w:val="000000" w:themeColor="text1"/>
                <w:sz w:val="24"/>
                <w:szCs w:val="24"/>
                <w14:textFill>
                  <w14:solidFill>
                    <w14:schemeClr w14:val="tx1"/>
                  </w14:solidFill>
                </w14:textFill>
              </w:rPr>
              <w:t>中药材种植推广及中医药产业的技术引进和研发；沙蒿过敏性疾病防治技术</w:t>
            </w:r>
            <w:r>
              <w:rPr>
                <w:rFonts w:hint="eastAsia" w:ascii="仿宋_GB2312" w:hAnsi="仿宋_GB2312" w:cs="仿宋_GB2312"/>
                <w:color w:val="000000" w:themeColor="text1"/>
                <w:sz w:val="24"/>
                <w:szCs w:val="24"/>
                <w:lang w:eastAsia="zh-CN"/>
                <w14:textFill>
                  <w14:solidFill>
                    <w14:schemeClr w14:val="tx1"/>
                  </w14:solidFill>
                </w14:textFill>
              </w:rPr>
              <w:t>及</w:t>
            </w:r>
            <w:r>
              <w:rPr>
                <w:rFonts w:hint="eastAsia" w:ascii="仿宋_GB2312" w:hAnsi="仿宋_GB2312" w:eastAsia="仿宋_GB2312" w:cs="仿宋_GB2312"/>
                <w:color w:val="000000" w:themeColor="text1"/>
                <w:sz w:val="24"/>
                <w:szCs w:val="24"/>
                <w14:textFill>
                  <w14:solidFill>
                    <w14:schemeClr w14:val="tx1"/>
                  </w14:solidFill>
                </w14:textFill>
              </w:rPr>
              <w:t>新药研发、传染性疾病疫苗</w:t>
            </w:r>
            <w:r>
              <w:rPr>
                <w:rFonts w:hint="eastAsia" w:ascii="仿宋_GB2312" w:hAnsi="仿宋_GB2312" w:cs="仿宋_GB2312"/>
                <w:color w:val="000000" w:themeColor="text1"/>
                <w:sz w:val="24"/>
                <w:szCs w:val="24"/>
                <w:lang w:eastAsia="zh-CN"/>
                <w14:textFill>
                  <w14:solidFill>
                    <w14:schemeClr w14:val="tx1"/>
                  </w14:solidFill>
                </w14:textFill>
              </w:rPr>
              <w:t>及</w:t>
            </w:r>
            <w:r>
              <w:rPr>
                <w:rFonts w:hint="eastAsia" w:ascii="仿宋_GB2312" w:hAnsi="仿宋_GB2312" w:eastAsia="仿宋_GB2312" w:cs="仿宋_GB2312"/>
                <w:color w:val="000000" w:themeColor="text1"/>
                <w:sz w:val="24"/>
                <w:szCs w:val="24"/>
                <w14:textFill>
                  <w14:solidFill>
                    <w14:schemeClr w14:val="tx1"/>
                  </w14:solidFill>
                </w14:textFill>
              </w:rPr>
              <w:t>生物新医药研制等</w:t>
            </w:r>
            <w:r>
              <w:rPr>
                <w:rFonts w:hint="eastAsia" w:ascii="仿宋_GB2312" w:hAnsi="仿宋_GB2312" w:cs="仿宋_GB2312"/>
                <w:color w:val="000000" w:themeColor="text1"/>
                <w:sz w:val="24"/>
                <w:szCs w:val="24"/>
                <w:lang w:eastAsia="zh-CN"/>
                <w14:textFill>
                  <w14:solidFill>
                    <w14:schemeClr w14:val="tx1"/>
                  </w14:solidFill>
                </w14:textFill>
              </w:rPr>
              <w:t>。</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环保产业：</w:t>
            </w:r>
            <w:r>
              <w:rPr>
                <w:rFonts w:hint="eastAsia" w:ascii="仿宋_GB2312" w:hAnsi="仿宋_GB2312" w:eastAsia="仿宋_GB2312" w:cs="仿宋_GB2312"/>
                <w:color w:val="000000" w:themeColor="text1"/>
                <w:sz w:val="24"/>
                <w:szCs w:val="24"/>
                <w14:textFill>
                  <w14:solidFill>
                    <w14:schemeClr w14:val="tx1"/>
                  </w14:solidFill>
                </w14:textFill>
              </w:rPr>
              <w:t>工业固废、污水处理技术研发；水土保持、生态修复治理技术</w:t>
            </w:r>
            <w:r>
              <w:rPr>
                <w:rFonts w:hint="eastAsia" w:ascii="仿宋_GB2312" w:hAnsi="仿宋_GB2312" w:cs="仿宋_GB2312"/>
                <w:color w:val="000000" w:themeColor="text1"/>
                <w:sz w:val="24"/>
                <w:szCs w:val="24"/>
                <w:lang w:eastAsia="zh-CN"/>
                <w14:textFill>
                  <w14:solidFill>
                    <w14:schemeClr w14:val="tx1"/>
                  </w14:solidFill>
                </w14:textFill>
              </w:rPr>
              <w:t>攻关</w:t>
            </w:r>
            <w:r>
              <w:rPr>
                <w:rFonts w:hint="eastAsia" w:ascii="仿宋_GB2312" w:hAnsi="仿宋_GB2312" w:eastAsia="仿宋_GB2312" w:cs="仿宋_GB2312"/>
                <w:color w:val="000000" w:themeColor="text1"/>
                <w:sz w:val="24"/>
                <w:szCs w:val="24"/>
                <w14:textFill>
                  <w14:solidFill>
                    <w14:schemeClr w14:val="tx1"/>
                  </w14:solidFill>
                </w14:textFill>
              </w:rPr>
              <w:t>；环保成套装备技术应用与研发等</w:t>
            </w:r>
            <w:r>
              <w:rPr>
                <w:rFonts w:hint="eastAsia" w:ascii="仿宋_GB2312" w:hAnsi="仿宋_GB2312" w:cs="仿宋_GB2312"/>
                <w:color w:val="000000" w:themeColor="text1"/>
                <w:sz w:val="24"/>
                <w:szCs w:val="24"/>
                <w:lang w:eastAsia="zh-CN"/>
                <w14:textFill>
                  <w14:solidFill>
                    <w14:schemeClr w14:val="tx1"/>
                  </w14:solidFill>
                </w14:textFill>
              </w:rPr>
              <w:t>。</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楷体_GB2312" w:hAnsi="楷体_GB2312" w:eastAsia="楷体_GB2312" w:cs="楷体_GB2312"/>
                <w:b/>
                <w:bCs/>
                <w:color w:val="000000" w:themeColor="text1"/>
                <w:sz w:val="24"/>
                <w:szCs w:val="24"/>
                <w14:textFill>
                  <w14:solidFill>
                    <w14:schemeClr w14:val="tx1"/>
                  </w14:solidFill>
                </w14:textFill>
              </w:rPr>
              <w:t>现代农业：</w:t>
            </w:r>
            <w:r>
              <w:rPr>
                <w:rFonts w:hint="eastAsia" w:ascii="仿宋_GB2312" w:hAnsi="仿宋_GB2312" w:eastAsia="仿宋_GB2312" w:cs="仿宋_GB2312"/>
                <w:color w:val="000000" w:themeColor="text1"/>
                <w:sz w:val="24"/>
                <w:szCs w:val="24"/>
                <w14:textFill>
                  <w14:solidFill>
                    <w14:schemeClr w14:val="tx1"/>
                  </w14:solidFill>
                </w14:textFill>
              </w:rPr>
              <w:t>良种引育、田间作业、设施栽培、健康养殖、</w:t>
            </w:r>
            <w:r>
              <w:rPr>
                <w:rFonts w:hint="eastAsia" w:ascii="仿宋_GB2312" w:hAnsi="仿宋_GB2312" w:cs="仿宋_GB2312"/>
                <w:color w:val="000000" w:themeColor="text1"/>
                <w:sz w:val="24"/>
                <w:szCs w:val="24"/>
                <w:lang w:eastAsia="zh-CN"/>
                <w14:textFill>
                  <w14:solidFill>
                    <w14:schemeClr w14:val="tx1"/>
                  </w14:solidFill>
                </w14:textFill>
              </w:rPr>
              <w:t>畜禽</w:t>
            </w:r>
            <w:r>
              <w:rPr>
                <w:rFonts w:hint="eastAsia" w:ascii="仿宋_GB2312" w:hAnsi="仿宋_GB2312" w:eastAsia="仿宋_GB2312" w:cs="仿宋_GB2312"/>
                <w:color w:val="000000" w:themeColor="text1"/>
                <w:sz w:val="24"/>
                <w:szCs w:val="24"/>
                <w14:textFill>
                  <w14:solidFill>
                    <w14:schemeClr w14:val="tx1"/>
                  </w14:solidFill>
                </w14:textFill>
              </w:rPr>
              <w:t>疫病防控</w:t>
            </w:r>
            <w:r>
              <w:rPr>
                <w:rFonts w:hint="eastAsia" w:ascii="仿宋_GB2312" w:hAnsi="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eastAsia="zh-CN"/>
                <w14:textFill>
                  <w14:solidFill>
                    <w14:schemeClr w14:val="tx1"/>
                  </w14:solidFill>
                </w14:textFill>
              </w:rPr>
              <w:t>灾害性气象天气预警及防控、农产品生产全程溯源</w:t>
            </w:r>
            <w:r>
              <w:rPr>
                <w:rFonts w:hint="eastAsia" w:ascii="仿宋_GB2312" w:hAnsi="仿宋_GB2312" w:eastAsia="仿宋_GB2312" w:cs="仿宋_GB2312"/>
                <w:color w:val="000000" w:themeColor="text1"/>
                <w:sz w:val="24"/>
                <w:szCs w:val="24"/>
                <w14:textFill>
                  <w14:solidFill>
                    <w14:schemeClr w14:val="tx1"/>
                  </w14:solidFill>
                </w14:textFill>
              </w:rPr>
              <w:t>等关键技术集成创新；农业物联网、农业云服务、移动互联等关键技术攻关及农业现场信息、关键感知技术及装备等研发；农产品精深加工、储运保鲜、清洁安全生产等关键技术研发</w:t>
            </w:r>
            <w:r>
              <w:rPr>
                <w:rFonts w:hint="eastAsia" w:ascii="仿宋_GB2312" w:hAnsi="仿宋_GB2312" w:cs="仿宋_GB2312"/>
                <w:color w:val="000000" w:themeColor="text1"/>
                <w:sz w:val="24"/>
                <w:szCs w:val="24"/>
                <w:lang w:eastAsia="zh-CN"/>
                <w14:textFill>
                  <w14:solidFill>
                    <w14:schemeClr w14:val="tx1"/>
                  </w14:solidFill>
                </w14:textFill>
              </w:rPr>
              <w:t>。</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cs="Times New Roman"/>
                <w:color w:val="0000FF"/>
                <w:sz w:val="28"/>
                <w:szCs w:val="24"/>
              </w:rPr>
            </w:pPr>
            <w:r>
              <w:rPr>
                <w:rFonts w:hint="eastAsia" w:ascii="楷体_GB2312" w:hAnsi="楷体_GB2312" w:eastAsia="楷体_GB2312" w:cs="楷体_GB2312"/>
                <w:b/>
                <w:bCs/>
                <w:color w:val="000000" w:themeColor="text1"/>
                <w:sz w:val="24"/>
                <w:szCs w:val="24"/>
                <w14:textFill>
                  <w14:solidFill>
                    <w14:schemeClr w14:val="tx1"/>
                  </w14:solidFill>
                </w14:textFill>
              </w:rPr>
              <w:t>现代服务业：</w:t>
            </w:r>
            <w:r>
              <w:rPr>
                <w:rFonts w:hint="eastAsia" w:ascii="仿宋_GB2312" w:hAnsi="仿宋_GB2312" w:eastAsia="仿宋_GB2312" w:cs="仿宋_GB2312"/>
                <w:color w:val="000000" w:themeColor="text1"/>
                <w:sz w:val="24"/>
                <w:szCs w:val="24"/>
                <w14:textFill>
                  <w14:solidFill>
                    <w14:schemeClr w14:val="tx1"/>
                  </w14:solidFill>
                </w14:textFill>
              </w:rPr>
              <w:t>互联网+科技+（生产服务、技术服务、生活物流、电商服务、生态文化旅游和金融等）。</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3" w:name="_Toc18163"/>
      <w:r>
        <w:rPr>
          <w:rFonts w:hint="eastAsia" w:ascii="楷体_GB2312" w:hAnsi="楷体_GB2312" w:eastAsia="楷体_GB2312" w:cs="楷体_GB2312"/>
          <w:bCs/>
          <w:sz w:val="32"/>
          <w:szCs w:val="32"/>
        </w:rPr>
        <w:t>第四节 加快建设人才强市</w:t>
      </w:r>
      <w:bookmarkEnd w:id="13"/>
    </w:p>
    <w:p>
      <w:pPr>
        <w:keepNext w:val="0"/>
        <w:keepLines w:val="0"/>
        <w:pageBreakBefore w:val="0"/>
        <w:widowControl w:val="0"/>
        <w:kinsoku/>
        <w:wordWrap/>
        <w:overflowPunct/>
        <w:topLinePunct w:val="0"/>
        <w:autoSpaceDE/>
        <w:autoSpaceDN/>
        <w:bidi w:val="0"/>
        <w:adjustRightInd w:val="0"/>
        <w:snapToGrid w:val="0"/>
        <w:spacing w:line="570" w:lineRule="exact"/>
        <w:ind w:firstLine="640"/>
        <w:jc w:val="both"/>
        <w:textAlignment w:val="auto"/>
        <w:rPr>
          <w:rFonts w:cs="Times New Roman"/>
          <w:sz w:val="32"/>
          <w:szCs w:val="32"/>
        </w:rPr>
      </w:pPr>
      <w:r>
        <w:rPr>
          <w:rFonts w:cs="Times New Roman"/>
          <w:sz w:val="32"/>
          <w:szCs w:val="32"/>
        </w:rPr>
        <w:t>落实人才第一资源战略，坚持产业引才、项目育才、环境留才，激发各类人才创新活力，打造区域人才集聚新高地。</w:t>
      </w:r>
    </w:p>
    <w:p>
      <w:pPr>
        <w:keepNext w:val="0"/>
        <w:keepLines w:val="0"/>
        <w:pageBreakBefore w:val="0"/>
        <w:widowControl w:val="0"/>
        <w:kinsoku/>
        <w:wordWrap/>
        <w:overflowPunct/>
        <w:topLinePunct w:val="0"/>
        <w:autoSpaceDE/>
        <w:autoSpaceDN/>
        <w:bidi w:val="0"/>
        <w:adjustRightInd w:val="0"/>
        <w:snapToGrid w:val="0"/>
        <w:spacing w:line="570" w:lineRule="exact"/>
        <w:ind w:firstLine="640"/>
        <w:jc w:val="both"/>
        <w:textAlignment w:val="auto"/>
        <w:rPr>
          <w:rFonts w:cs="Times New Roman"/>
          <w:sz w:val="32"/>
          <w:szCs w:val="32"/>
        </w:rPr>
      </w:pPr>
      <w:r>
        <w:rPr>
          <w:rFonts w:cs="Times New Roman"/>
          <w:b/>
          <w:bCs/>
          <w:sz w:val="32"/>
          <w:szCs w:val="32"/>
        </w:rPr>
        <w:t>多渠道引进人才。</w:t>
      </w:r>
      <w:r>
        <w:rPr>
          <w:rFonts w:cs="Times New Roman"/>
          <w:sz w:val="32"/>
          <w:szCs w:val="32"/>
        </w:rPr>
        <w:t>突出“高精尖缺”基本导向，建立顶尖人才和重大团队引进“一事一议”制度，支持各类用人主体引进国家“千人计划”“万人计划”杰出人才。实施柔性引才政策，试行事业单位录用特殊人才备案制、考核制。全面落实“双招双引”</w:t>
      </w:r>
      <w:r>
        <w:rPr>
          <w:rFonts w:hint="eastAsia" w:cs="Times New Roman"/>
          <w:sz w:val="32"/>
          <w:szCs w:val="32"/>
          <w:lang w:eastAsia="zh-CN"/>
        </w:rPr>
        <w:t>政策</w:t>
      </w:r>
      <w:r>
        <w:rPr>
          <w:rFonts w:cs="Times New Roman"/>
          <w:sz w:val="32"/>
          <w:szCs w:val="32"/>
        </w:rPr>
        <w:t>，引进一批具有国际视野的优秀企业家。完善人才市场、技术市场与资本市场密切对接的联动机制，赋予科研院所、企业、事业单位和社会组织更大用人自主权。建立健全便捷高效的人才创新创业配套服务机制，</w:t>
      </w:r>
      <w:r>
        <w:rPr>
          <w:rFonts w:hint="eastAsia" w:cs="Times New Roman"/>
          <w:sz w:val="32"/>
          <w:szCs w:val="32"/>
          <w:lang w:val="en-US" w:eastAsia="zh-CN"/>
        </w:rPr>
        <w:t>加快补齐</w:t>
      </w:r>
      <w:r>
        <w:rPr>
          <w:rFonts w:cs="Times New Roman"/>
          <w:sz w:val="32"/>
          <w:szCs w:val="32"/>
        </w:rPr>
        <w:t>资源型城市升级转型</w:t>
      </w:r>
      <w:r>
        <w:rPr>
          <w:rFonts w:hint="eastAsia" w:cs="Times New Roman"/>
          <w:sz w:val="32"/>
          <w:szCs w:val="32"/>
          <w:lang w:val="en-US" w:eastAsia="zh-CN"/>
        </w:rPr>
        <w:t>人才队伍和智力支持短板</w:t>
      </w:r>
      <w:r>
        <w:rPr>
          <w:rFonts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70" w:lineRule="exact"/>
        <w:ind w:firstLine="640"/>
        <w:jc w:val="both"/>
        <w:textAlignment w:val="auto"/>
        <w:rPr>
          <w:rFonts w:cs="Times New Roman"/>
          <w:sz w:val="32"/>
          <w:szCs w:val="32"/>
        </w:rPr>
      </w:pPr>
      <w:r>
        <w:rPr>
          <w:rFonts w:cs="Times New Roman"/>
          <w:b/>
          <w:bCs/>
          <w:sz w:val="32"/>
          <w:szCs w:val="32"/>
        </w:rPr>
        <w:t>全方位培育人才</w:t>
      </w:r>
      <w:r>
        <w:rPr>
          <w:rFonts w:cs="Times New Roman"/>
          <w:sz w:val="32"/>
          <w:szCs w:val="32"/>
        </w:rPr>
        <w:t>。培育一批“麟州工匠”，命名一批非物质文化遗产项目代表性传承人和传统技艺带头人。实施“朝阳人才”培养、名师培养、高端医学人才培育、文化人才汇聚、乡村人才振兴、企业人才提升等“六大工程”，重点补齐医疗卫生、文化教育、农业农村</w:t>
      </w:r>
      <w:r>
        <w:rPr>
          <w:rFonts w:hint="eastAsia" w:cs="Times New Roman"/>
          <w:sz w:val="32"/>
          <w:szCs w:val="32"/>
          <w:lang w:eastAsia="zh-CN"/>
        </w:rPr>
        <w:t>、应急救援</w:t>
      </w:r>
      <w:r>
        <w:rPr>
          <w:rFonts w:cs="Times New Roman"/>
          <w:sz w:val="32"/>
          <w:szCs w:val="32"/>
        </w:rPr>
        <w:t>等专业人才短板。发挥职业技术学院和</w:t>
      </w:r>
      <w:r>
        <w:rPr>
          <w:rFonts w:cs="Times New Roman"/>
          <w:sz w:val="32"/>
          <w:szCs w:val="32"/>
          <w:lang w:val="zh-CN"/>
        </w:rPr>
        <w:t>黑马创新学院神木分院</w:t>
      </w:r>
      <w:r>
        <w:rPr>
          <w:rFonts w:cs="Times New Roman"/>
          <w:sz w:val="32"/>
          <w:szCs w:val="32"/>
        </w:rPr>
        <w:t>的</w:t>
      </w:r>
      <w:r>
        <w:rPr>
          <w:rFonts w:cs="Times New Roman"/>
          <w:sz w:val="32"/>
          <w:szCs w:val="32"/>
          <w:lang w:val="zh-CN"/>
        </w:rPr>
        <w:t>主阵地</w:t>
      </w:r>
      <w:r>
        <w:rPr>
          <w:rFonts w:cs="Times New Roman"/>
          <w:sz w:val="32"/>
          <w:szCs w:val="32"/>
        </w:rPr>
        <w:t>作用</w:t>
      </w:r>
      <w:r>
        <w:rPr>
          <w:rFonts w:cs="Times New Roman"/>
          <w:sz w:val="32"/>
          <w:szCs w:val="32"/>
          <w:lang w:val="zh-CN"/>
        </w:rPr>
        <w:t>，</w:t>
      </w:r>
      <w:r>
        <w:rPr>
          <w:rFonts w:cs="Times New Roman"/>
          <w:sz w:val="32"/>
          <w:szCs w:val="32"/>
        </w:rPr>
        <w:t>培养一批能源化工、装备制造、高新技术、服务业领域急需紧缺人才，支持职业院校与全市规模以上企业开展“订单式”人才培养。打通人才流通渠道，开展“神</w:t>
      </w:r>
      <w:r>
        <w:rPr>
          <w:rFonts w:hint="eastAsia" w:cs="Times New Roman"/>
          <w:sz w:val="32"/>
          <w:szCs w:val="32"/>
          <w:lang w:val="en-US" w:eastAsia="zh-CN"/>
        </w:rPr>
        <w:t>木</w:t>
      </w:r>
      <w:r>
        <w:rPr>
          <w:rFonts w:cs="Times New Roman"/>
          <w:sz w:val="32"/>
          <w:szCs w:val="32"/>
        </w:rPr>
        <w:t>籍人才”回归专项行动，优先选聘公益性岗位优秀人才到产业园区、市属国有企业任职。推动市属国有企业开展职业经理人试点工作，加快高级职业经理人培养，逐步提高市属国有企业人才市场化选聘比例。到2025年，建成榆林市级以上高技能人才培训基地4个、技能名师工作室7个，技能人才达到1万人。</w:t>
      </w:r>
    </w:p>
    <w:p>
      <w:pPr>
        <w:keepNext w:val="0"/>
        <w:keepLines w:val="0"/>
        <w:pageBreakBefore w:val="0"/>
        <w:widowControl w:val="0"/>
        <w:kinsoku/>
        <w:wordWrap/>
        <w:overflowPunct/>
        <w:topLinePunct w:val="0"/>
        <w:autoSpaceDE/>
        <w:autoSpaceDN/>
        <w:bidi w:val="0"/>
        <w:adjustRightInd w:val="0"/>
        <w:snapToGrid w:val="0"/>
        <w:spacing w:line="570" w:lineRule="exact"/>
        <w:ind w:firstLine="640"/>
        <w:jc w:val="both"/>
        <w:textAlignment w:val="auto"/>
        <w:rPr>
          <w:rFonts w:hint="eastAsia" w:eastAsia="仿宋_GB2312" w:cs="Times New Roman"/>
          <w:sz w:val="32"/>
          <w:szCs w:val="32"/>
          <w:lang w:eastAsia="zh-CN"/>
        </w:rPr>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425" w:num="1"/>
          <w:docGrid w:type="lines" w:linePitch="312" w:charSpace="0"/>
        </w:sectPr>
      </w:pPr>
      <w:r>
        <w:rPr>
          <w:rFonts w:cs="Times New Roman"/>
          <w:b/>
          <w:bCs/>
          <w:sz w:val="32"/>
          <w:szCs w:val="32"/>
        </w:rPr>
        <w:t>优环境留人</w:t>
      </w:r>
      <w:r>
        <w:rPr>
          <w:rFonts w:hint="eastAsia" w:cs="Times New Roman"/>
          <w:b/>
          <w:bCs/>
          <w:sz w:val="32"/>
          <w:szCs w:val="32"/>
          <w:lang w:val="en-US" w:eastAsia="zh-CN"/>
        </w:rPr>
        <w:t>留心</w:t>
      </w:r>
      <w:r>
        <w:rPr>
          <w:rFonts w:cs="Times New Roman"/>
          <w:b/>
          <w:bCs/>
          <w:sz w:val="32"/>
          <w:szCs w:val="32"/>
        </w:rPr>
        <w:t>。</w:t>
      </w:r>
      <w:r>
        <w:rPr>
          <w:rFonts w:cs="Times New Roman"/>
          <w:sz w:val="32"/>
          <w:szCs w:val="32"/>
        </w:rPr>
        <w:t>优化人才服务保障体系，健全人才管理服务权力清单和责任清单，落实来神创新创业的高层次人才在住房、子女入学、配偶就业和医疗服务等方面的配套政策。</w:t>
      </w:r>
      <w:r>
        <w:rPr>
          <w:rFonts w:hint="eastAsia" w:cs="Times New Roman"/>
          <w:sz w:val="32"/>
          <w:szCs w:val="32"/>
          <w:lang w:eastAsia="zh-CN"/>
        </w:rPr>
        <w:t>扩大教育、医疗、科创等机构</w:t>
      </w:r>
      <w:r>
        <w:rPr>
          <w:rFonts w:hint="eastAsia" w:ascii="仿宋_GB2312" w:hAnsi="仿宋_GB2312" w:eastAsia="仿宋_GB2312" w:cs="仿宋_GB2312"/>
          <w:sz w:val="32"/>
          <w:szCs w:val="32"/>
        </w:rPr>
        <w:t>在科研活动中的选人用人、编制使用、薪酬分配、建设项目审批等自主权。</w:t>
      </w:r>
      <w:r>
        <w:rPr>
          <w:rFonts w:cs="Times New Roman"/>
          <w:sz w:val="32"/>
          <w:szCs w:val="32"/>
        </w:rPr>
        <w:t>探索“以编换人”“项目留人”“平台兴人”新机制，引得进、留得住、用得好各类人才。健全技术创新试验容错纠错机制、创业保险和首次创业失败担保制度，深化研发人才薪酬制度改革，试行高技术、高层次人才科研成果参与收益分配，打造最为宽松、最有保障、最具吸引力的创新创业</w:t>
      </w:r>
      <w:r>
        <w:rPr>
          <w:rFonts w:hint="eastAsia" w:cs="Times New Roman"/>
          <w:sz w:val="32"/>
          <w:szCs w:val="32"/>
          <w:lang w:eastAsia="zh-CN"/>
        </w:rPr>
        <w:t>环境。</w:t>
      </w:r>
    </w:p>
    <w:p>
      <w:pPr>
        <w:pStyle w:val="3"/>
        <w:ind w:left="0" w:firstLine="0" w:firstLineChars="0"/>
        <w:rPr>
          <w:rFonts w:ascii="Times New Roman" w:hAnsi="Times New Roman" w:eastAsia="方正小标宋简体" w:cs="Times New Roman"/>
          <w:w w:val="90"/>
          <w:sz w:val="44"/>
          <w:szCs w:val="44"/>
        </w:rPr>
      </w:pPr>
      <w:bookmarkStart w:id="14" w:name="_Toc2818"/>
      <w:r>
        <w:rPr>
          <w:rFonts w:ascii="Times New Roman" w:hAnsi="Times New Roman" w:eastAsia="方正小标宋简体" w:cs="Times New Roman"/>
          <w:w w:val="90"/>
          <w:sz w:val="44"/>
          <w:szCs w:val="44"/>
        </w:rPr>
        <w:t>第四章 加快产业升级，构建</w:t>
      </w:r>
      <w:r>
        <w:rPr>
          <w:rFonts w:hint="eastAsia" w:ascii="Times New Roman" w:hAnsi="Times New Roman" w:eastAsia="方正小标宋简体" w:cs="Times New Roman"/>
          <w:w w:val="90"/>
          <w:sz w:val="44"/>
          <w:szCs w:val="44"/>
          <w:lang w:val="en-US" w:eastAsia="zh-CN"/>
        </w:rPr>
        <w:t>高端低碳产业新</w:t>
      </w:r>
      <w:r>
        <w:rPr>
          <w:rFonts w:ascii="Times New Roman" w:hAnsi="Times New Roman" w:eastAsia="方正小标宋简体" w:cs="Times New Roman"/>
          <w:w w:val="90"/>
          <w:sz w:val="44"/>
          <w:szCs w:val="44"/>
        </w:rPr>
        <w:t>体系</w:t>
      </w:r>
      <w:bookmarkEnd w:id="14"/>
    </w:p>
    <w:p>
      <w:pPr>
        <w:adjustRightInd/>
        <w:snapToGrid/>
        <w:spacing w:line="576" w:lineRule="exact"/>
        <w:ind w:firstLine="640"/>
        <w:rPr>
          <w:rFonts w:cs="Times New Roman"/>
          <w:sz w:val="32"/>
          <w:szCs w:val="32"/>
        </w:rPr>
      </w:pPr>
      <w:r>
        <w:rPr>
          <w:rFonts w:cs="Times New Roman"/>
          <w:sz w:val="32"/>
          <w:szCs w:val="32"/>
        </w:rPr>
        <w:t>主攻产业升级转型，做实做优做强实体经济，</w:t>
      </w:r>
      <w:r>
        <w:rPr>
          <w:rFonts w:hint="eastAsia" w:cs="Times New Roman"/>
          <w:sz w:val="32"/>
          <w:szCs w:val="32"/>
          <w:lang w:eastAsia="zh-CN"/>
        </w:rPr>
        <w:t>深入实施“一产革新、二产高新、三产创新”三大战略</w:t>
      </w:r>
      <w:r>
        <w:rPr>
          <w:rFonts w:cs="Times New Roman"/>
          <w:sz w:val="32"/>
          <w:szCs w:val="32"/>
        </w:rPr>
        <w:t>，大力培育新业态、新动能，提高经济质量效益和核心竞争力。</w:t>
      </w:r>
    </w:p>
    <w:p>
      <w:pPr>
        <w:pStyle w:val="44"/>
        <w:adjustRightInd/>
        <w:snapToGrid/>
        <w:spacing w:before="156" w:beforeLines="50" w:after="156" w:afterLines="50"/>
        <w:ind w:firstLine="0" w:firstLineChars="0"/>
        <w:jc w:val="center"/>
        <w:outlineLvl w:val="1"/>
        <w:rPr>
          <w:rFonts w:hint="default" w:ascii="楷体_GB2312" w:hAnsi="楷体_GB2312" w:eastAsia="楷体_GB2312" w:cs="楷体_GB2312"/>
          <w:bCs/>
          <w:sz w:val="32"/>
          <w:szCs w:val="32"/>
          <w:lang w:val="en-US" w:eastAsia="zh-CN"/>
        </w:rPr>
      </w:pPr>
      <w:bookmarkStart w:id="15" w:name="_Toc11266"/>
      <w:r>
        <w:rPr>
          <w:rFonts w:hint="eastAsia" w:ascii="楷体_GB2312" w:hAnsi="楷体_GB2312" w:eastAsia="楷体_GB2312" w:cs="楷体_GB2312"/>
          <w:bCs/>
          <w:sz w:val="32"/>
          <w:szCs w:val="32"/>
        </w:rPr>
        <w:t xml:space="preserve">第一节 </w:t>
      </w:r>
      <w:r>
        <w:rPr>
          <w:rFonts w:hint="eastAsia" w:ascii="楷体_GB2312" w:hAnsi="楷体_GB2312" w:eastAsia="楷体_GB2312" w:cs="楷体_GB2312"/>
          <w:bCs/>
          <w:sz w:val="32"/>
          <w:szCs w:val="32"/>
          <w:lang w:val="en-US" w:eastAsia="zh-CN"/>
        </w:rPr>
        <w:t>提升能化产业发展水平</w:t>
      </w:r>
      <w:bookmarkEnd w:id="15"/>
    </w:p>
    <w:p>
      <w:pPr>
        <w:spacing w:line="576" w:lineRule="exact"/>
        <w:ind w:firstLine="640"/>
        <w:jc w:val="both"/>
        <w:rPr>
          <w:rFonts w:cs="Times New Roman"/>
          <w:kern w:val="2"/>
          <w:sz w:val="32"/>
          <w:szCs w:val="32"/>
        </w:rPr>
      </w:pPr>
      <w:r>
        <w:rPr>
          <w:rFonts w:cs="Times New Roman"/>
          <w:b/>
          <w:bCs/>
          <w:sz w:val="32"/>
          <w:szCs w:val="32"/>
        </w:rPr>
        <w:t>打造世界先进煤炭生产基地。</w:t>
      </w:r>
      <w:r>
        <w:rPr>
          <w:rFonts w:cs="Times New Roman"/>
          <w:kern w:val="2"/>
          <w:sz w:val="32"/>
          <w:szCs w:val="32"/>
        </w:rPr>
        <w:t>坚持</w:t>
      </w:r>
      <w:r>
        <w:rPr>
          <w:rFonts w:cs="Times New Roman"/>
          <w:sz w:val="32"/>
          <w:szCs w:val="32"/>
        </w:rPr>
        <w:t>煤矿绿色开采，实施智能化改造，</w:t>
      </w:r>
      <w:r>
        <w:rPr>
          <w:rFonts w:cs="Times New Roman"/>
          <w:kern w:val="2"/>
          <w:sz w:val="32"/>
          <w:szCs w:val="32"/>
        </w:rPr>
        <w:t>推广“采煤不见煤、矸石不升井”</w:t>
      </w:r>
      <w:r>
        <w:rPr>
          <w:rFonts w:hint="eastAsia" w:cs="Times New Roman"/>
          <w:kern w:val="2"/>
          <w:sz w:val="32"/>
          <w:szCs w:val="32"/>
          <w:lang w:eastAsia="zh-CN"/>
        </w:rPr>
        <w:t>和充填式</w:t>
      </w:r>
      <w:r>
        <w:rPr>
          <w:rFonts w:cs="Times New Roman"/>
          <w:kern w:val="2"/>
          <w:sz w:val="32"/>
          <w:szCs w:val="32"/>
        </w:rPr>
        <w:t>开采方式，实现</w:t>
      </w:r>
      <w:r>
        <w:rPr>
          <w:rFonts w:cs="Times New Roman"/>
          <w:sz w:val="32"/>
          <w:szCs w:val="32"/>
        </w:rPr>
        <w:t>机械化开采达到</w:t>
      </w:r>
      <w:r>
        <w:rPr>
          <w:rFonts w:cs="Times New Roman"/>
          <w:kern w:val="2"/>
          <w:sz w:val="32"/>
          <w:szCs w:val="32"/>
        </w:rPr>
        <w:t>100%</w:t>
      </w:r>
      <w:r>
        <w:rPr>
          <w:rFonts w:cs="Times New Roman"/>
          <w:sz w:val="32"/>
          <w:szCs w:val="32"/>
        </w:rPr>
        <w:t>。</w:t>
      </w:r>
      <w:r>
        <w:rPr>
          <w:rFonts w:cs="Times New Roman"/>
          <w:kern w:val="2"/>
          <w:sz w:val="32"/>
          <w:szCs w:val="32"/>
        </w:rPr>
        <w:t>推进煤矿智能装备应用，率先在神东、陕煤、榆能等国有大矿试行，逐步在120万吨/年以上民营煤矿推广。有序</w:t>
      </w:r>
      <w:r>
        <w:rPr>
          <w:rFonts w:hint="eastAsia" w:cs="Times New Roman"/>
          <w:kern w:val="2"/>
          <w:sz w:val="32"/>
          <w:szCs w:val="32"/>
          <w:lang w:val="en-US" w:eastAsia="zh-CN"/>
        </w:rPr>
        <w:t>淘汰</w:t>
      </w:r>
      <w:r>
        <w:rPr>
          <w:rFonts w:cs="Times New Roman"/>
          <w:kern w:val="2"/>
          <w:sz w:val="32"/>
          <w:szCs w:val="32"/>
        </w:rPr>
        <w:t>落后产能，</w:t>
      </w:r>
      <w:r>
        <w:rPr>
          <w:rFonts w:hint="eastAsia" w:cs="Times New Roman"/>
          <w:kern w:val="2"/>
          <w:sz w:val="32"/>
          <w:szCs w:val="32"/>
          <w:lang w:val="en-US" w:eastAsia="zh-CN"/>
        </w:rPr>
        <w:t>引导退出或兼并整合</w:t>
      </w:r>
      <w:r>
        <w:rPr>
          <w:rFonts w:cs="Times New Roman"/>
          <w:sz w:val="32"/>
          <w:szCs w:val="32"/>
        </w:rPr>
        <w:t>60万吨/年以下矿井，</w:t>
      </w:r>
      <w:r>
        <w:rPr>
          <w:rFonts w:cs="Times New Roman"/>
          <w:kern w:val="2"/>
          <w:sz w:val="32"/>
          <w:szCs w:val="32"/>
        </w:rPr>
        <w:t>新建中鸡、大保当、木独石犁</w:t>
      </w:r>
      <w:r>
        <w:rPr>
          <w:rFonts w:hint="eastAsia" w:cs="Times New Roman"/>
          <w:kern w:val="2"/>
          <w:sz w:val="32"/>
          <w:szCs w:val="32"/>
          <w:lang w:eastAsia="zh-CN"/>
        </w:rPr>
        <w:t>、</w:t>
      </w:r>
      <w:r>
        <w:rPr>
          <w:rFonts w:hint="eastAsia" w:cs="Times New Roman"/>
          <w:kern w:val="2"/>
          <w:sz w:val="32"/>
          <w:szCs w:val="32"/>
          <w:lang w:val="en-US" w:eastAsia="zh-CN"/>
        </w:rPr>
        <w:t>朱盖塔</w:t>
      </w:r>
      <w:r>
        <w:rPr>
          <w:rFonts w:cs="Times New Roman"/>
          <w:kern w:val="2"/>
          <w:sz w:val="32"/>
          <w:szCs w:val="32"/>
        </w:rPr>
        <w:t>等一批现代化矿井</w:t>
      </w:r>
      <w:r>
        <w:rPr>
          <w:rFonts w:cs="Times New Roman"/>
          <w:sz w:val="32"/>
          <w:szCs w:val="32"/>
        </w:rPr>
        <w:t>。到2025年，煤矿数量整合到</w:t>
      </w:r>
      <w:r>
        <w:rPr>
          <w:rFonts w:hint="eastAsia" w:cs="Times New Roman"/>
          <w:sz w:val="32"/>
          <w:szCs w:val="32"/>
          <w:lang w:val="en-US" w:eastAsia="zh-CN"/>
        </w:rPr>
        <w:t>9</w:t>
      </w:r>
      <w:r>
        <w:rPr>
          <w:rFonts w:cs="Times New Roman"/>
          <w:sz w:val="32"/>
          <w:szCs w:val="32"/>
        </w:rPr>
        <w:t>0处以内，原煤产量达到3.</w:t>
      </w:r>
      <w:r>
        <w:rPr>
          <w:rFonts w:hint="eastAsia" w:cs="Times New Roman"/>
          <w:sz w:val="32"/>
          <w:szCs w:val="32"/>
          <w:lang w:val="en-US" w:eastAsia="zh-CN"/>
        </w:rPr>
        <w:t>5</w:t>
      </w:r>
      <w:r>
        <w:rPr>
          <w:rFonts w:cs="Times New Roman"/>
          <w:sz w:val="32"/>
          <w:szCs w:val="32"/>
        </w:rPr>
        <w:t>亿吨</w:t>
      </w:r>
      <w:r>
        <w:rPr>
          <w:rFonts w:cs="Times New Roman"/>
          <w:kern w:val="2"/>
          <w:sz w:val="32"/>
          <w:szCs w:val="32"/>
        </w:rPr>
        <w:t>。</w:t>
      </w:r>
    </w:p>
    <w:p>
      <w:pPr>
        <w:spacing w:line="576" w:lineRule="exact"/>
        <w:ind w:firstLine="640"/>
        <w:jc w:val="both"/>
        <w:rPr>
          <w:rFonts w:cs="Times New Roman"/>
          <w:sz w:val="32"/>
          <w:szCs w:val="32"/>
        </w:rPr>
      </w:pPr>
      <w:r>
        <w:rPr>
          <w:rFonts w:cs="Times New Roman"/>
          <w:b/>
          <w:bCs/>
          <w:sz w:val="32"/>
          <w:szCs w:val="32"/>
        </w:rPr>
        <w:t>打造全国知名煤炭清洁高效利用基地。</w:t>
      </w:r>
      <w:r>
        <w:rPr>
          <w:rFonts w:hint="eastAsia" w:cs="Times New Roman"/>
          <w:sz w:val="32"/>
          <w:szCs w:val="32"/>
          <w:lang w:eastAsia="zh-CN"/>
        </w:rPr>
        <w:t>坚持减量置换，突出节能减排，</w:t>
      </w:r>
      <w:r>
        <w:rPr>
          <w:rFonts w:cs="Times New Roman"/>
          <w:sz w:val="32"/>
          <w:szCs w:val="32"/>
        </w:rPr>
        <w:t>系统推进兰炭全产业链升级改造，逐步淘汰7.5万吨以下兰炭生产装置，实现兰炭产业装置规模化、配套高端化、管理智能化、生产绿色化、经营高效化。着力破解粉煤热解、兰炭废水处理、VOCs气体无组织排放等瓶颈制约，持续保障和改善兰炭产品品质，打造“神木兰炭”洁净煤驰名品牌。</w:t>
      </w:r>
      <w:r>
        <w:rPr>
          <w:rFonts w:hint="eastAsia" w:cs="Times New Roman"/>
          <w:sz w:val="32"/>
          <w:szCs w:val="32"/>
          <w:lang w:eastAsia="zh-CN"/>
        </w:rPr>
        <w:t>优化火电布局和发展导向，合理控制煤电建设规模和节奏，鼓励现役机组背压式改造，严控尾气发电和气固混烧机组。推进</w:t>
      </w:r>
      <w:r>
        <w:rPr>
          <w:rFonts w:cs="Times New Roman"/>
          <w:sz w:val="32"/>
          <w:szCs w:val="32"/>
        </w:rPr>
        <w:t>兰</w:t>
      </w:r>
      <w:r>
        <w:rPr>
          <w:rFonts w:cs="Times New Roman"/>
          <w:color w:val="000000"/>
          <w:sz w:val="32"/>
          <w:szCs w:val="32"/>
        </w:rPr>
        <w:t>炭、煤焦油、</w:t>
      </w:r>
      <w:r>
        <w:rPr>
          <w:rFonts w:hint="eastAsia" w:cs="Times New Roman"/>
          <w:color w:val="000000"/>
          <w:sz w:val="32"/>
          <w:szCs w:val="32"/>
          <w:lang w:eastAsia="zh-CN"/>
        </w:rPr>
        <w:t>荒</w:t>
      </w:r>
      <w:r>
        <w:rPr>
          <w:rFonts w:cs="Times New Roman"/>
          <w:color w:val="000000"/>
          <w:sz w:val="32"/>
          <w:szCs w:val="32"/>
        </w:rPr>
        <w:t>煤气向中高端</w:t>
      </w:r>
      <w:r>
        <w:rPr>
          <w:rFonts w:hint="eastAsia" w:cs="Times New Roman"/>
          <w:color w:val="000000"/>
          <w:sz w:val="32"/>
          <w:szCs w:val="32"/>
          <w:lang w:eastAsia="zh-CN"/>
        </w:rPr>
        <w:t>精细化</w:t>
      </w:r>
      <w:r>
        <w:rPr>
          <w:rFonts w:cs="Times New Roman"/>
          <w:color w:val="000000"/>
          <w:sz w:val="32"/>
          <w:szCs w:val="32"/>
        </w:rPr>
        <w:t>工领域拓展</w:t>
      </w:r>
      <w:r>
        <w:rPr>
          <w:rFonts w:cs="Times New Roman"/>
          <w:sz w:val="32"/>
          <w:szCs w:val="32"/>
        </w:rPr>
        <w:t>。到2025年，</w:t>
      </w:r>
      <w:r>
        <w:rPr>
          <w:rFonts w:hint="eastAsia" w:cs="Times New Roman"/>
          <w:sz w:val="32"/>
          <w:szCs w:val="32"/>
          <w:lang w:val="en-US" w:eastAsia="zh-CN"/>
        </w:rPr>
        <w:t>火电装机容量达到1500万千瓦，</w:t>
      </w:r>
      <w:r>
        <w:rPr>
          <w:rFonts w:cs="Times New Roman"/>
          <w:sz w:val="32"/>
          <w:szCs w:val="32"/>
        </w:rPr>
        <w:t>兰炭产量</w:t>
      </w:r>
      <w:r>
        <w:rPr>
          <w:rFonts w:hint="eastAsia" w:cs="Times New Roman"/>
          <w:sz w:val="32"/>
          <w:szCs w:val="32"/>
          <w:lang w:val="en-US" w:eastAsia="zh-CN"/>
        </w:rPr>
        <w:t>达到3</w:t>
      </w:r>
      <w:r>
        <w:rPr>
          <w:rFonts w:cs="Times New Roman"/>
          <w:sz w:val="32"/>
          <w:szCs w:val="32"/>
        </w:rPr>
        <w:t>000万吨。</w:t>
      </w:r>
    </w:p>
    <w:p>
      <w:pPr>
        <w:pStyle w:val="38"/>
        <w:spacing w:line="576" w:lineRule="exact"/>
        <w:ind w:firstLine="640"/>
        <w:jc w:val="both"/>
        <w:rPr>
          <w:rFonts w:ascii="Times New Roman" w:hAnsi="Times New Roman" w:cs="Times New Roman"/>
          <w:szCs w:val="32"/>
        </w:rPr>
      </w:pPr>
      <w:r>
        <w:rPr>
          <w:rFonts w:hint="eastAsia" w:ascii="Times New Roman" w:hAnsi="Times New Roman" w:cs="Times New Roman"/>
          <w:b/>
          <w:bCs/>
          <w:kern w:val="2"/>
          <w:szCs w:val="32"/>
          <w:lang w:val="en-US" w:eastAsia="zh-CN"/>
        </w:rPr>
        <w:t>新型建材</w:t>
      </w:r>
      <w:r>
        <w:rPr>
          <w:rFonts w:ascii="Times New Roman" w:hAnsi="Times New Roman" w:cs="Times New Roman"/>
          <w:b/>
          <w:bCs/>
          <w:kern w:val="2"/>
          <w:szCs w:val="32"/>
        </w:rPr>
        <w:t>。</w:t>
      </w:r>
      <w:r>
        <w:rPr>
          <w:rFonts w:ascii="Times New Roman" w:hAnsi="Times New Roman" w:cs="Times New Roman"/>
          <w:b/>
          <w:bCs/>
          <w:szCs w:val="32"/>
        </w:rPr>
        <w:t>塑料，</w:t>
      </w:r>
      <w:r>
        <w:rPr>
          <w:rFonts w:ascii="Times New Roman" w:hAnsi="Times New Roman" w:cs="Times New Roman"/>
          <w:szCs w:val="32"/>
        </w:rPr>
        <w:t>依托聚氯乙烯，生产改性塑料、建筑包装塑料、工程塑料等终端产品。</w:t>
      </w:r>
      <w:r>
        <w:rPr>
          <w:rFonts w:ascii="Times New Roman" w:hAnsi="Times New Roman" w:cs="Times New Roman"/>
          <w:b/>
          <w:bCs/>
          <w:szCs w:val="32"/>
        </w:rPr>
        <w:t>碳材料，</w:t>
      </w:r>
      <w:r>
        <w:rPr>
          <w:rFonts w:ascii="Times New Roman" w:hAnsi="Times New Roman" w:cs="Times New Roman"/>
          <w:szCs w:val="32"/>
        </w:rPr>
        <w:t>推动兴汉</w:t>
      </w:r>
      <w:r>
        <w:rPr>
          <w:rFonts w:hint="eastAsia" w:ascii="Times New Roman" w:hAnsi="Times New Roman" w:cs="Times New Roman"/>
          <w:szCs w:val="32"/>
          <w:lang w:eastAsia="zh-CN"/>
        </w:rPr>
        <w:t>澜</w:t>
      </w:r>
      <w:r>
        <w:rPr>
          <w:rFonts w:ascii="Times New Roman" w:hAnsi="Times New Roman" w:cs="Times New Roman"/>
          <w:szCs w:val="32"/>
        </w:rPr>
        <w:t>石墨烯粉体项目达产达效，发展石墨烯电池、炭纤维材料等下游关联产业。</w:t>
      </w:r>
      <w:r>
        <w:rPr>
          <w:rFonts w:ascii="Times New Roman" w:hAnsi="Times New Roman" w:cs="Times New Roman"/>
          <w:b/>
          <w:bCs/>
          <w:szCs w:val="32"/>
        </w:rPr>
        <w:t>硅材料</w:t>
      </w:r>
      <w:r>
        <w:rPr>
          <w:rFonts w:ascii="Times New Roman" w:hAnsi="Times New Roman" w:cs="Times New Roman"/>
          <w:szCs w:val="32"/>
        </w:rPr>
        <w:t>，改造提升硅锰、硅铁等生产工艺，引进电子级、光伏级多晶硅及碳化硅等新型半导体材料。</w:t>
      </w:r>
      <w:r>
        <w:rPr>
          <w:rFonts w:ascii="Times New Roman" w:hAnsi="Times New Roman" w:cs="Times New Roman"/>
          <w:b/>
          <w:bCs/>
          <w:szCs w:val="32"/>
        </w:rPr>
        <w:t>玻璃，</w:t>
      </w:r>
      <w:r>
        <w:rPr>
          <w:rFonts w:ascii="Times New Roman" w:hAnsi="Times New Roman" w:cs="Times New Roman"/>
          <w:szCs w:val="32"/>
        </w:rPr>
        <w:t>优化提升平板玻璃加工业，支持瑞诚玻璃实施工艺技改，新建汽车玻璃、高白玻璃、特种玻璃生产线。</w:t>
      </w:r>
      <w:r>
        <w:rPr>
          <w:rFonts w:ascii="Times New Roman" w:hAnsi="Times New Roman" w:cs="Times New Roman"/>
          <w:b/>
          <w:bCs/>
          <w:szCs w:val="32"/>
        </w:rPr>
        <w:t>陶瓷，</w:t>
      </w:r>
      <w:r>
        <w:rPr>
          <w:rFonts w:ascii="Times New Roman" w:hAnsi="Times New Roman" w:cs="Times New Roman"/>
          <w:szCs w:val="32"/>
        </w:rPr>
        <w:t>拓展陶瓷产品，支持银丰陶瓷升级改造，新增日用陶瓷、卫浴洁具陶瓷、特种陶瓷、工艺陶瓷等生产线。到2025年，新材料产值达到100亿元。</w:t>
      </w:r>
    </w:p>
    <w:tbl>
      <w:tblPr>
        <w:tblStyle w:val="25"/>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8346" w:type="dxa"/>
          </w:tcPr>
          <w:p>
            <w:pPr>
              <w:spacing w:line="440" w:lineRule="exact"/>
              <w:ind w:firstLine="0" w:firstLineChars="0"/>
              <w:jc w:val="left"/>
              <w:rPr>
                <w:rFonts w:hint="eastAsia" w:ascii="黑体" w:hAnsi="黑体" w:eastAsia="黑体" w:cs="黑体"/>
                <w:sz w:val="24"/>
                <w:szCs w:val="24"/>
                <w:lang w:eastAsia="zh-CN"/>
              </w:rPr>
            </w:pPr>
            <w:r>
              <w:rPr>
                <w:rFonts w:hint="eastAsia" w:ascii="黑体" w:hAnsi="黑体" w:eastAsia="黑体" w:cs="黑体"/>
                <w:sz w:val="24"/>
                <w:szCs w:val="24"/>
              </w:rPr>
              <w:t>专栏</w:t>
            </w:r>
            <w:r>
              <w:rPr>
                <w:rFonts w:hint="eastAsia" w:ascii="黑体" w:hAnsi="黑体" w:eastAsia="黑体" w:cs="黑体"/>
                <w:sz w:val="24"/>
                <w:szCs w:val="24"/>
                <w:lang w:val="en-US" w:eastAsia="zh-CN"/>
              </w:rPr>
              <w:t>3</w:t>
            </w:r>
            <w:r>
              <w:rPr>
                <w:rFonts w:hint="eastAsia" w:ascii="黑体" w:hAnsi="黑体" w:eastAsia="黑体" w:cs="黑体"/>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eastAsia="宋体" w:cs="Times New Roman"/>
                <w:sz w:val="28"/>
                <w:szCs w:val="28"/>
              </w:rPr>
            </w:pPr>
            <w:r>
              <w:rPr>
                <w:rFonts w:hint="eastAsia" w:eastAsia="黑体" w:cs="Times New Roman"/>
                <w:color w:val="000000" w:themeColor="text1"/>
                <w:sz w:val="28"/>
                <w:szCs w:val="28"/>
                <w:lang w:val="en-US" w:eastAsia="zh-CN"/>
                <w14:textFill>
                  <w14:solidFill>
                    <w14:schemeClr w14:val="tx1"/>
                  </w14:solidFill>
                </w14:textFill>
              </w:rPr>
              <w:t xml:space="preserve"> </w:t>
            </w:r>
            <w:r>
              <w:rPr>
                <w:rFonts w:hint="eastAsia" w:eastAsia="黑体" w:cs="Times New Roman"/>
                <w:sz w:val="28"/>
                <w:szCs w:val="28"/>
                <w:lang w:eastAsia="zh-CN"/>
              </w:rPr>
              <w:t>传统产业升级</w:t>
            </w:r>
            <w:r>
              <w:rPr>
                <w:rFonts w:eastAsia="黑体" w:cs="Times New Roman"/>
                <w:sz w:val="28"/>
                <w:szCs w:val="28"/>
              </w:rPr>
              <w:t>重点工程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绿色智慧矿井</w:t>
            </w:r>
            <w:r>
              <w:rPr>
                <w:rFonts w:hint="eastAsia" w:ascii="楷体_GB2312" w:hAnsi="楷体_GB2312" w:eastAsia="楷体_GB2312" w:cs="楷体_GB2312"/>
                <w:sz w:val="24"/>
                <w:szCs w:val="24"/>
              </w:rPr>
              <w:t>：</w:t>
            </w:r>
            <w:r>
              <w:rPr>
                <w:rFonts w:hint="eastAsia" w:ascii="仿宋_GB2312" w:hAnsi="仿宋_GB2312" w:eastAsia="仿宋_GB2312" w:cs="仿宋_GB2312"/>
                <w:sz w:val="24"/>
                <w:szCs w:val="24"/>
              </w:rPr>
              <w:t>新建中鸡一二三号3000万吨、神华大保当1300万吨、木独石犁300万吨等现代化矿井；完成升富、宝兴源等资源整合矿井建设；建设智慧矿山联合实验室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实施小保当、张家峁、红柳林、凉水井等智慧化矿井改造</w:t>
            </w:r>
            <w:r>
              <w:rPr>
                <w:rFonts w:hint="eastAsia" w:ascii="仿宋_GB2312" w:hAnsi="仿宋_GB2312" w:cs="仿宋_GB2312"/>
                <w:sz w:val="24"/>
                <w:szCs w:val="24"/>
                <w:lang w:val="en-US"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both"/>
              <w:textAlignment w:val="auto"/>
              <w:rPr>
                <w:rFonts w:hint="eastAsia" w:ascii="仿宋_GB2312" w:hAnsi="仿宋_GB2312" w:cs="仿宋_GB2312"/>
                <w:sz w:val="24"/>
                <w:szCs w:val="24"/>
                <w:lang w:eastAsia="zh-CN"/>
              </w:rPr>
            </w:pPr>
            <w:r>
              <w:rPr>
                <w:rFonts w:hint="eastAsia" w:ascii="楷体_GB2312" w:hAnsi="楷体_GB2312" w:eastAsia="楷体_GB2312" w:cs="楷体_GB2312"/>
                <w:b/>
                <w:bCs/>
                <w:sz w:val="24"/>
                <w:szCs w:val="24"/>
                <w:lang w:eastAsia="zh-CN"/>
              </w:rPr>
              <w:t>煤炭清洁高效利用</w:t>
            </w:r>
            <w:r>
              <w:rPr>
                <w:rFonts w:hint="eastAsia" w:ascii="楷体_GB2312" w:hAnsi="楷体_GB2312" w:eastAsia="楷体_GB2312" w:cs="楷体_GB2312"/>
                <w:b/>
                <w:bCs/>
                <w:sz w:val="24"/>
                <w:szCs w:val="24"/>
              </w:rPr>
              <w:t>：</w:t>
            </w:r>
            <w:r>
              <w:rPr>
                <w:rFonts w:hint="eastAsia" w:ascii="仿宋_GB2312" w:hAnsi="仿宋_GB2312" w:eastAsia="仿宋_GB2312" w:cs="仿宋_GB2312"/>
                <w:sz w:val="24"/>
                <w:szCs w:val="24"/>
              </w:rPr>
              <w:t>天元化工660万吨粉煤分质综合利用、三阳泰1000万吨煤炭分级分质高效综合利用</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神信循环经济产业示范园、金泰氯碱100万吨聚氯乙烯及配套、北元集团绿色特种材料创新产业融合一体化；龙华80万吨尿素综合利用</w:t>
            </w:r>
            <w:r>
              <w:rPr>
                <w:rFonts w:hint="eastAsia" w:ascii="仿宋_GB2312" w:hAnsi="仿宋_GB2312" w:cs="仿宋_GB2312"/>
                <w:sz w:val="24"/>
                <w:szCs w:val="24"/>
                <w:lang w:eastAsia="zh-CN"/>
              </w:rPr>
              <w:t>。</w:t>
            </w:r>
            <w:bookmarkStart w:id="131" w:name="_GoBack"/>
            <w:bookmarkEnd w:id="131"/>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cs="Times New Roman"/>
                <w:color w:val="0000FF"/>
                <w:sz w:val="28"/>
                <w:szCs w:val="24"/>
              </w:rPr>
            </w:pPr>
            <w:r>
              <w:rPr>
                <w:rFonts w:hint="eastAsia" w:ascii="楷体_GB2312" w:hAnsi="楷体_GB2312" w:eastAsia="楷体_GB2312" w:cs="楷体_GB2312"/>
                <w:b/>
                <w:bCs/>
                <w:sz w:val="24"/>
                <w:szCs w:val="24"/>
                <w:lang w:eastAsia="zh-CN"/>
              </w:rPr>
              <w:t>新型建材：</w:t>
            </w:r>
            <w:r>
              <w:rPr>
                <w:rFonts w:hint="eastAsia" w:ascii="仿宋_GB2312" w:hAnsi="仿宋_GB2312" w:eastAsia="仿宋_GB2312" w:cs="仿宋_GB2312"/>
                <w:sz w:val="24"/>
                <w:szCs w:val="24"/>
                <w:lang w:eastAsia="zh-CN"/>
              </w:rPr>
              <w:t>瑞诚玻璃技改项目、神木银丰陶瓷年产3600万平方米陶瓷墙地砖项目</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lang w:eastAsia="zh-CN"/>
              </w:rPr>
              <w:t>榆林天盛缘玻璃纤维</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lang w:eastAsia="zh-CN"/>
              </w:rPr>
              <w:t>陶瓷纤维项目。</w:t>
            </w:r>
          </w:p>
        </w:tc>
      </w:tr>
    </w:tbl>
    <w:p>
      <w:pPr>
        <w:pStyle w:val="44"/>
        <w:adjustRightInd/>
        <w:snapToGrid/>
        <w:spacing w:before="156" w:beforeLines="50" w:after="156" w:afterLines="50"/>
        <w:ind w:firstLine="0" w:firstLineChars="0"/>
        <w:jc w:val="center"/>
        <w:outlineLvl w:val="1"/>
        <w:rPr>
          <w:rFonts w:hint="default" w:ascii="楷体_GB2312" w:hAnsi="楷体_GB2312" w:eastAsia="楷体_GB2312" w:cs="楷体_GB2312"/>
          <w:bCs/>
          <w:sz w:val="32"/>
          <w:szCs w:val="32"/>
          <w:lang w:val="en-US" w:eastAsia="zh-CN"/>
        </w:rPr>
      </w:pPr>
      <w:bookmarkStart w:id="16" w:name="_Toc30060"/>
      <w:r>
        <w:rPr>
          <w:rFonts w:hint="eastAsia" w:ascii="楷体_GB2312" w:hAnsi="楷体_GB2312" w:eastAsia="楷体_GB2312" w:cs="楷体_GB2312"/>
          <w:bCs/>
          <w:sz w:val="32"/>
          <w:szCs w:val="32"/>
        </w:rPr>
        <w:t xml:space="preserve">第二节 </w:t>
      </w:r>
      <w:r>
        <w:rPr>
          <w:rFonts w:hint="eastAsia" w:ascii="楷体_GB2312" w:hAnsi="楷体_GB2312" w:eastAsia="楷体_GB2312" w:cs="楷体_GB2312"/>
          <w:bCs/>
          <w:sz w:val="32"/>
          <w:szCs w:val="32"/>
          <w:lang w:val="en-US" w:eastAsia="zh-CN"/>
        </w:rPr>
        <w:t>培育壮大接续产业</w:t>
      </w:r>
      <w:bookmarkEnd w:id="16"/>
    </w:p>
    <w:p>
      <w:pPr>
        <w:pStyle w:val="39"/>
        <w:keepNext w:val="0"/>
        <w:keepLines w:val="0"/>
        <w:pageBreakBefore w:val="0"/>
        <w:kinsoku/>
        <w:wordWrap/>
        <w:overflowPunct/>
        <w:topLinePunct w:val="0"/>
        <w:autoSpaceDE/>
        <w:autoSpaceDN/>
        <w:bidi w:val="0"/>
        <w:spacing w:line="590" w:lineRule="exact"/>
        <w:ind w:firstLine="640"/>
        <w:rPr>
          <w:rFonts w:ascii="Times New Roman" w:hAnsi="Times New Roman" w:cs="Times New Roman"/>
          <w:color w:val="0000FF"/>
          <w:sz w:val="32"/>
          <w:szCs w:val="32"/>
        </w:rPr>
      </w:pPr>
      <w:r>
        <w:rPr>
          <w:rFonts w:ascii="Times New Roman" w:hAnsi="Times New Roman" w:cs="Times New Roman"/>
          <w:b/>
          <w:bCs/>
          <w:sz w:val="32"/>
          <w:szCs w:val="32"/>
        </w:rPr>
        <w:t>发展高端化终端化煤化工产业。</w:t>
      </w:r>
      <w:r>
        <w:rPr>
          <w:rFonts w:ascii="Times New Roman" w:hAnsi="Times New Roman" w:cs="Times New Roman"/>
          <w:sz w:val="32"/>
          <w:szCs w:val="32"/>
        </w:rPr>
        <w:t>高水平推进“三个转化”</w:t>
      </w:r>
      <w:r>
        <w:rPr>
          <w:rStyle w:val="37"/>
          <w:rFonts w:ascii="Times New Roman" w:hAnsi="Times New Roman" w:cs="Times New Roman"/>
          <w:sz w:val="32"/>
          <w:szCs w:val="32"/>
        </w:rPr>
        <w:footnoteReference w:id="9"/>
      </w:r>
      <w:r>
        <w:rPr>
          <w:rFonts w:ascii="Times New Roman" w:hAnsi="Times New Roman" w:cs="Times New Roman"/>
          <w:sz w:val="32"/>
          <w:szCs w:val="32"/>
        </w:rPr>
        <w:t>，深化实施“12363”战略</w:t>
      </w:r>
      <w:r>
        <w:rPr>
          <w:rStyle w:val="37"/>
          <w:rFonts w:ascii="Times New Roman" w:hAnsi="Times New Roman" w:cs="Times New Roman"/>
          <w:sz w:val="32"/>
          <w:szCs w:val="32"/>
        </w:rPr>
        <w:footnoteReference w:id="10"/>
      </w:r>
      <w:r>
        <w:rPr>
          <w:rFonts w:ascii="Times New Roman" w:hAnsi="Times New Roman" w:cs="Times New Roman"/>
          <w:sz w:val="32"/>
          <w:szCs w:val="32"/>
        </w:rPr>
        <w:t>，谋划建设一批煤化工全产业链项目。加快榆神工业园区</w:t>
      </w:r>
      <w:r>
        <w:rPr>
          <w:rFonts w:hint="eastAsia" w:ascii="Times New Roman" w:hAnsi="Times New Roman" w:cs="Times New Roman"/>
          <w:sz w:val="32"/>
          <w:szCs w:val="32"/>
          <w:lang w:eastAsia="zh-CN"/>
        </w:rPr>
        <w:t>现代</w:t>
      </w:r>
      <w:r>
        <w:rPr>
          <w:rFonts w:ascii="Times New Roman" w:hAnsi="Times New Roman" w:cs="Times New Roman"/>
          <w:sz w:val="32"/>
          <w:szCs w:val="32"/>
        </w:rPr>
        <w:t>煤化工项目建设，形成高端合成材料、高端专用化学品、煤基聚酯、可降解材料等高技术含量、高附加值产品链，</w:t>
      </w:r>
      <w:r>
        <w:rPr>
          <w:rFonts w:hint="eastAsia" w:ascii="Times New Roman" w:hAnsi="Times New Roman" w:cs="Times New Roman"/>
          <w:sz w:val="32"/>
          <w:szCs w:val="32"/>
          <w:lang w:eastAsia="zh-CN"/>
        </w:rPr>
        <w:t>打造</w:t>
      </w:r>
      <w:r>
        <w:rPr>
          <w:rFonts w:ascii="Times New Roman" w:hAnsi="Times New Roman" w:cs="Times New Roman"/>
          <w:sz w:val="32"/>
          <w:szCs w:val="32"/>
        </w:rPr>
        <w:t>“煤头化尾”的现代煤化工产业示范区。发展终端煤化工产业，建成恒力（大保当）纺织园，纺织面料终端产品面市，实现从“一块煤”到“一匹布”。依托北元化工、神信新材料、金泰氯碱等煤盐一体化项目，推动氯碱化工向特种树脂、氯化高聚物等高附加值产品发展。优化发展煤制合成氨、尿素等氨氯化工产业。延伸“煤—甲醇—1，4丁二醇—γ-丁内酯、N-甲基吡咯烷酮”等精细化工产业链。</w:t>
      </w:r>
    </w:p>
    <w:p>
      <w:pPr>
        <w:keepNext w:val="0"/>
        <w:keepLines w:val="0"/>
        <w:pageBreakBefore w:val="0"/>
        <w:widowControl/>
        <w:suppressLineNumbers w:val="0"/>
        <w:kinsoku/>
        <w:wordWrap/>
        <w:overflowPunct/>
        <w:topLinePunct w:val="0"/>
        <w:autoSpaceDE/>
        <w:autoSpaceDN/>
        <w:bidi w:val="0"/>
        <w:spacing w:line="570" w:lineRule="exact"/>
        <w:jc w:val="both"/>
        <w:textAlignment w:val="auto"/>
        <w:rPr>
          <w:rFonts w:hint="eastAsia" w:ascii="Times New Roman" w:hAnsi="Times New Roman" w:eastAsia="仿宋_GB2312" w:cs="Times New Roman"/>
          <w:b/>
          <w:bCs/>
          <w:szCs w:val="32"/>
          <w:lang w:eastAsia="zh-CN"/>
        </w:rPr>
      </w:pPr>
      <w:r>
        <w:rPr>
          <w:rFonts w:hint="eastAsia" w:cs="Times New Roman"/>
          <w:b/>
          <w:bCs/>
          <w:sz w:val="32"/>
          <w:szCs w:val="32"/>
          <w:lang w:val="en-US" w:eastAsia="zh-CN" w:bidi="ar-SA"/>
        </w:rPr>
        <w:t>巩固壮大</w:t>
      </w:r>
      <w:r>
        <w:rPr>
          <w:rFonts w:hint="eastAsia" w:ascii="Times New Roman" w:hAnsi="Times New Roman" w:eastAsia="仿宋_GB2312" w:cs="Times New Roman"/>
          <w:b/>
          <w:bCs/>
          <w:sz w:val="32"/>
          <w:szCs w:val="32"/>
          <w:lang w:val="en-US" w:eastAsia="zh-CN" w:bidi="ar-SA"/>
        </w:rPr>
        <w:t>新能源</w:t>
      </w:r>
      <w:r>
        <w:rPr>
          <w:rFonts w:hint="eastAsia" w:cs="Times New Roman"/>
          <w:b/>
          <w:bCs/>
          <w:sz w:val="32"/>
          <w:szCs w:val="32"/>
          <w:lang w:val="en-US" w:eastAsia="zh-CN" w:bidi="ar-SA"/>
        </w:rPr>
        <w:t>产业</w:t>
      </w:r>
      <w:r>
        <w:rPr>
          <w:rFonts w:hint="eastAsia" w:ascii="Times New Roman" w:hAnsi="Times New Roman" w:eastAsia="仿宋_GB2312" w:cs="Times New Roman"/>
          <w:b/>
          <w:bCs/>
          <w:sz w:val="32"/>
          <w:szCs w:val="32"/>
          <w:lang w:val="en-US" w:eastAsia="zh-CN" w:bidi="ar-SA"/>
        </w:rPr>
        <w:t>。</w:t>
      </w:r>
      <w:r>
        <w:rPr>
          <w:rFonts w:hint="eastAsia" w:ascii="Times New Roman" w:hAnsi="Times New Roman" w:eastAsia="仿宋_GB2312" w:cs="Times New Roman"/>
          <w:sz w:val="32"/>
          <w:szCs w:val="32"/>
          <w:lang w:val="en-US" w:eastAsia="zh-CN" w:bidi="ar-SA"/>
        </w:rPr>
        <w:t>紧盯碳中和、碳达峰目标，</w:t>
      </w:r>
      <w:r>
        <w:rPr>
          <w:rFonts w:ascii="Times New Roman" w:hAnsi="Times New Roman" w:eastAsia="仿宋_GB2312" w:cs="Times New Roman"/>
          <w:sz w:val="32"/>
          <w:szCs w:val="32"/>
          <w:lang w:val="en-US" w:eastAsia="zh-CN" w:bidi="ar-SA"/>
        </w:rPr>
        <w:t>按照风光火储一体化和源网荷储一体化开发模式，</w:t>
      </w:r>
      <w:r>
        <w:rPr>
          <w:rFonts w:hint="eastAsia" w:cs="Times New Roman"/>
          <w:sz w:val="32"/>
          <w:szCs w:val="32"/>
          <w:lang w:val="en-US" w:eastAsia="zh-CN" w:bidi="ar-SA"/>
        </w:rPr>
        <w:t>有序发展农光互补、林光互补、牧光互补等光伏项目，鼓励发展分散式、分布式风光项目</w:t>
      </w:r>
      <w:r>
        <w:rPr>
          <w:rFonts w:ascii="Times New Roman" w:hAnsi="Times New Roman" w:eastAsia="仿宋_GB2312" w:cs="Times New Roman"/>
          <w:sz w:val="32"/>
          <w:szCs w:val="32"/>
          <w:lang w:val="en-US" w:eastAsia="zh-CN" w:bidi="ar-SA"/>
        </w:rPr>
        <w:t>。充分利用北部矿区矿山综合治理修复地块，规划建设矿区综合治理+生态修复光伏发电示范项目。支持并网光伏发电项目原址扩容升级。</w:t>
      </w:r>
      <w:r>
        <w:rPr>
          <w:rFonts w:hint="eastAsia" w:ascii="Times New Roman" w:hAnsi="Times New Roman" w:eastAsia="仿宋_GB2312" w:cs="Times New Roman"/>
          <w:sz w:val="32"/>
          <w:szCs w:val="32"/>
          <w:lang w:val="en-US" w:eastAsia="zh-CN" w:bidi="ar-SA"/>
        </w:rPr>
        <w:t>到2025年，新能源总装机</w:t>
      </w:r>
      <w:r>
        <w:rPr>
          <w:rFonts w:hint="eastAsia" w:cs="Times New Roman"/>
          <w:sz w:val="32"/>
          <w:szCs w:val="32"/>
          <w:lang w:val="en-US" w:eastAsia="zh-CN" w:bidi="ar-SA"/>
        </w:rPr>
        <w:t>新增10</w:t>
      </w:r>
      <w:r>
        <w:rPr>
          <w:rFonts w:hint="eastAsia" w:ascii="Times New Roman" w:hAnsi="Times New Roman" w:eastAsia="仿宋_GB2312" w:cs="Times New Roman"/>
          <w:sz w:val="32"/>
          <w:szCs w:val="32"/>
          <w:lang w:val="en-US" w:eastAsia="zh-CN" w:bidi="ar-SA"/>
        </w:rPr>
        <w:t>00万千瓦。</w:t>
      </w:r>
    </w:p>
    <w:p>
      <w:pPr>
        <w:pStyle w:val="38"/>
        <w:keepNext w:val="0"/>
        <w:keepLines w:val="0"/>
        <w:pageBreakBefore w:val="0"/>
        <w:kinsoku/>
        <w:wordWrap/>
        <w:overflowPunct/>
        <w:topLinePunct w:val="0"/>
        <w:autoSpaceDE/>
        <w:autoSpaceDN/>
        <w:bidi w:val="0"/>
        <w:spacing w:line="570" w:lineRule="exact"/>
        <w:ind w:firstLine="640"/>
        <w:jc w:val="both"/>
        <w:textAlignment w:val="auto"/>
        <w:rPr>
          <w:rFonts w:ascii="Times New Roman" w:hAnsi="Times New Roman" w:cs="Times New Roman"/>
          <w:szCs w:val="32"/>
        </w:rPr>
      </w:pPr>
      <w:r>
        <w:rPr>
          <w:rFonts w:ascii="Times New Roman" w:hAnsi="Times New Roman" w:cs="Times New Roman"/>
          <w:b/>
          <w:bCs/>
          <w:szCs w:val="32"/>
        </w:rPr>
        <w:t>打造产储用氢一体化基地。</w:t>
      </w:r>
      <w:r>
        <w:rPr>
          <w:rFonts w:ascii="Times New Roman" w:hAnsi="Times New Roman" w:cs="Times New Roman"/>
          <w:szCs w:val="32"/>
        </w:rPr>
        <w:t>依托神木煤化工产业富氢、低成本优势，</w:t>
      </w:r>
      <w:r>
        <w:rPr>
          <w:rFonts w:ascii="Times New Roman" w:hAnsi="Times New Roman" w:cs="Times New Roman"/>
          <w:color w:val="000000"/>
          <w:sz w:val="31"/>
          <w:szCs w:val="31"/>
          <w:lang w:bidi="ar"/>
        </w:rPr>
        <w:t>加快布局氢能生产、储运、消费全产业链。</w:t>
      </w:r>
      <w:r>
        <w:rPr>
          <w:rFonts w:ascii="Times New Roman" w:hAnsi="Times New Roman" w:cs="Times New Roman"/>
          <w:szCs w:val="32"/>
        </w:rPr>
        <w:t>围绕陕煤、延长等工业副产氢能资源，推进氯碱粗氢、化工驰氢气、荒煤气氢气提纯及弃风弃光谷电多能互补制氢等项目建设。建设氢能储运中心，建成规模储氢设施和1</w:t>
      </w:r>
      <w:r>
        <w:rPr>
          <w:rFonts w:hint="eastAsia" w:ascii="Times New Roman" w:hAnsi="Times New Roman" w:cs="Times New Roman"/>
          <w:szCs w:val="32"/>
          <w:lang w:val="en-US" w:eastAsia="zh-CN"/>
        </w:rPr>
        <w:t>0</w:t>
      </w:r>
      <w:r>
        <w:rPr>
          <w:rFonts w:ascii="Times New Roman" w:hAnsi="Times New Roman" w:cs="Times New Roman"/>
          <w:szCs w:val="32"/>
        </w:rPr>
        <w:t>个加氢站，完善产储运销氢能应用网络，拓展氢能汽车、燃料电池等氢产业链。到2025年，氢能产值实现50亿元。</w:t>
      </w:r>
    </w:p>
    <w:p>
      <w:pPr>
        <w:keepNext w:val="0"/>
        <w:keepLines w:val="0"/>
        <w:pageBreakBefore w:val="0"/>
        <w:kinsoku/>
        <w:wordWrap/>
        <w:overflowPunct/>
        <w:topLinePunct w:val="0"/>
        <w:autoSpaceDE/>
        <w:autoSpaceDN/>
        <w:bidi w:val="0"/>
        <w:adjustRightInd/>
        <w:snapToGrid/>
        <w:spacing w:line="570" w:lineRule="exact"/>
        <w:ind w:firstLine="640"/>
        <w:jc w:val="both"/>
        <w:textAlignment w:val="auto"/>
        <w:rPr>
          <w:rFonts w:cs="Times New Roman"/>
          <w:sz w:val="32"/>
          <w:szCs w:val="32"/>
        </w:rPr>
      </w:pPr>
      <w:r>
        <w:rPr>
          <w:rFonts w:cs="Times New Roman"/>
          <w:b/>
          <w:bCs/>
          <w:sz w:val="32"/>
          <w:szCs w:val="32"/>
        </w:rPr>
        <w:t>革新发展特色农业。</w:t>
      </w:r>
      <w:r>
        <w:rPr>
          <w:rFonts w:cs="Times New Roman"/>
          <w:sz w:val="32"/>
          <w:szCs w:val="32"/>
        </w:rPr>
        <w:t>推进农业产业布局区域化、产业特色化、基地规模化、生产标准化，</w:t>
      </w:r>
      <w:r>
        <w:rPr>
          <w:rFonts w:hint="eastAsia" w:cs="Times New Roman"/>
          <w:sz w:val="32"/>
          <w:szCs w:val="32"/>
          <w:lang w:val="en-US" w:eastAsia="zh-CN"/>
        </w:rPr>
        <w:t>做大做强设施蔬菜、小杂粮、中药材、羊子等主导产业，做精做优红枣、生态养殖、特色林果等优势产业，创建省级农产品质量安全示范县（市）、省级农业高新技术产业示范区，</w:t>
      </w:r>
      <w:r>
        <w:rPr>
          <w:rFonts w:cs="Times New Roman"/>
          <w:sz w:val="32"/>
          <w:szCs w:val="32"/>
        </w:rPr>
        <w:t>到2025年，</w:t>
      </w:r>
      <w:r>
        <w:rPr>
          <w:rFonts w:hint="eastAsia" w:cs="Times New Roman"/>
          <w:sz w:val="32"/>
          <w:szCs w:val="32"/>
          <w:lang w:val="en-US" w:eastAsia="zh-CN"/>
        </w:rPr>
        <w:t>力争</w:t>
      </w:r>
      <w:r>
        <w:rPr>
          <w:rFonts w:cs="Times New Roman"/>
          <w:sz w:val="32"/>
          <w:szCs w:val="32"/>
        </w:rPr>
        <w:t>全市农业总产值</w:t>
      </w:r>
      <w:r>
        <w:rPr>
          <w:rFonts w:hint="eastAsia" w:cs="Times New Roman"/>
          <w:sz w:val="32"/>
          <w:szCs w:val="32"/>
          <w:lang w:val="en-US" w:eastAsia="zh-CN"/>
        </w:rPr>
        <w:t>达到100</w:t>
      </w:r>
      <w:r>
        <w:rPr>
          <w:rFonts w:cs="Times New Roman"/>
          <w:sz w:val="32"/>
          <w:szCs w:val="32"/>
        </w:rPr>
        <w:t>亿元。</w:t>
      </w:r>
    </w:p>
    <w:p>
      <w:pPr>
        <w:pStyle w:val="10"/>
        <w:keepNext w:val="0"/>
        <w:keepLines w:val="0"/>
        <w:pageBreakBefore w:val="0"/>
        <w:kinsoku/>
        <w:wordWrap/>
        <w:overflowPunct/>
        <w:topLinePunct w:val="0"/>
        <w:autoSpaceDE/>
        <w:autoSpaceDN/>
        <w:bidi w:val="0"/>
        <w:spacing w:line="570" w:lineRule="exact"/>
        <w:jc w:val="both"/>
        <w:textAlignment w:val="auto"/>
        <w:rPr>
          <w:rFonts w:cs="Times New Roman"/>
          <w:sz w:val="32"/>
          <w:szCs w:val="32"/>
        </w:rPr>
      </w:pPr>
      <w:r>
        <w:rPr>
          <w:rFonts w:hint="eastAsia" w:cs="Times New Roman"/>
          <w:b/>
          <w:bCs/>
          <w:kern w:val="2"/>
          <w:sz w:val="32"/>
          <w:szCs w:val="32"/>
          <w:lang w:val="en-US" w:eastAsia="zh-CN"/>
        </w:rPr>
        <w:t>提升</w:t>
      </w:r>
      <w:r>
        <w:rPr>
          <w:rFonts w:cs="Times New Roman"/>
          <w:b/>
          <w:bCs/>
          <w:kern w:val="2"/>
          <w:sz w:val="32"/>
          <w:szCs w:val="32"/>
        </w:rPr>
        <w:t>文化旅游</w:t>
      </w:r>
      <w:r>
        <w:rPr>
          <w:rFonts w:hint="eastAsia" w:cs="Times New Roman"/>
          <w:b/>
          <w:bCs/>
          <w:kern w:val="2"/>
          <w:sz w:val="32"/>
          <w:szCs w:val="32"/>
          <w:lang w:val="en-US" w:eastAsia="zh-CN"/>
        </w:rPr>
        <w:t>产业发展水平</w:t>
      </w:r>
      <w:r>
        <w:rPr>
          <w:rFonts w:cs="Times New Roman"/>
          <w:b/>
          <w:bCs/>
          <w:kern w:val="2"/>
          <w:sz w:val="32"/>
          <w:szCs w:val="32"/>
        </w:rPr>
        <w:t>。</w:t>
      </w:r>
      <w:r>
        <w:rPr>
          <w:rFonts w:cs="Times New Roman"/>
          <w:kern w:val="2"/>
          <w:sz w:val="32"/>
          <w:szCs w:val="32"/>
        </w:rPr>
        <w:t>强化与晋陕蒙</w:t>
      </w:r>
      <w:r>
        <w:rPr>
          <w:rFonts w:cs="Times New Roman"/>
          <w:sz w:val="32"/>
          <w:szCs w:val="32"/>
        </w:rPr>
        <w:t>周边旅游景区衔接，依托“一山二水三城”</w:t>
      </w:r>
      <w:r>
        <w:rPr>
          <w:rFonts w:hint="eastAsia" w:cs="Times New Roman"/>
          <w:sz w:val="32"/>
          <w:szCs w:val="32"/>
          <w:lang w:val="en-US" w:eastAsia="zh-CN"/>
        </w:rPr>
        <w:t>文化旅游框架体系</w:t>
      </w:r>
      <w:r>
        <w:rPr>
          <w:rFonts w:cs="Times New Roman"/>
          <w:sz w:val="32"/>
          <w:szCs w:val="32"/>
        </w:rPr>
        <w:t>，</w:t>
      </w:r>
      <w:r>
        <w:rPr>
          <w:rFonts w:hint="eastAsia" w:cs="Times New Roman"/>
          <w:sz w:val="32"/>
          <w:szCs w:val="32"/>
          <w:lang w:val="en-US" w:eastAsia="zh-CN"/>
        </w:rPr>
        <w:t>突出红碱淖、天台山等龙头景区建设，</w:t>
      </w:r>
      <w:r>
        <w:rPr>
          <w:rFonts w:cs="Times New Roman"/>
          <w:sz w:val="32"/>
          <w:szCs w:val="32"/>
        </w:rPr>
        <w:t>精心</w:t>
      </w:r>
      <w:r>
        <w:rPr>
          <w:rFonts w:hint="eastAsia" w:cs="Times New Roman"/>
          <w:sz w:val="32"/>
          <w:szCs w:val="32"/>
          <w:lang w:val="en-US" w:eastAsia="zh-CN"/>
        </w:rPr>
        <w:t>对接</w:t>
      </w:r>
      <w:r>
        <w:rPr>
          <w:rFonts w:cs="Times New Roman"/>
          <w:sz w:val="32"/>
          <w:szCs w:val="32"/>
        </w:rPr>
        <w:t>打造史前文明探源、大漠</w:t>
      </w:r>
      <w:r>
        <w:rPr>
          <w:rFonts w:hint="eastAsia" w:cs="Times New Roman"/>
          <w:sz w:val="32"/>
          <w:szCs w:val="32"/>
          <w:lang w:val="en-US" w:eastAsia="zh-CN"/>
        </w:rPr>
        <w:t>草原</w:t>
      </w:r>
      <w:r>
        <w:rPr>
          <w:rFonts w:cs="Times New Roman"/>
          <w:sz w:val="32"/>
          <w:szCs w:val="32"/>
        </w:rPr>
        <w:t>观光、沿黄</w:t>
      </w:r>
      <w:r>
        <w:rPr>
          <w:rFonts w:hint="eastAsia" w:cs="Times New Roman"/>
          <w:sz w:val="32"/>
          <w:szCs w:val="32"/>
          <w:lang w:val="en-US" w:eastAsia="zh-CN"/>
        </w:rPr>
        <w:t>峡谷探险</w:t>
      </w:r>
      <w:r>
        <w:rPr>
          <w:rFonts w:hint="eastAsia" w:cs="Times New Roman"/>
          <w:sz w:val="32"/>
          <w:szCs w:val="32"/>
          <w:lang w:eastAsia="zh-CN"/>
        </w:rPr>
        <w:t>、</w:t>
      </w:r>
      <w:r>
        <w:rPr>
          <w:rFonts w:hint="eastAsia" w:cs="Times New Roman"/>
          <w:sz w:val="32"/>
          <w:szCs w:val="32"/>
          <w:lang w:val="en-US" w:eastAsia="zh-CN"/>
        </w:rPr>
        <w:t>工业旅游体验</w:t>
      </w:r>
      <w:r>
        <w:rPr>
          <w:rFonts w:cs="Times New Roman"/>
          <w:sz w:val="32"/>
          <w:szCs w:val="32"/>
        </w:rPr>
        <w:t>等爆款精品旅游线路，提升文化旅游产业影响力，</w:t>
      </w:r>
      <w:r>
        <w:rPr>
          <w:rFonts w:hint="eastAsia" w:cs="Times New Roman"/>
          <w:sz w:val="32"/>
          <w:szCs w:val="32"/>
          <w:lang w:eastAsia="zh-CN"/>
        </w:rPr>
        <w:t>文化旅游综合收入突破</w:t>
      </w:r>
      <w:r>
        <w:rPr>
          <w:rFonts w:hint="eastAsia" w:cs="Times New Roman"/>
          <w:sz w:val="32"/>
          <w:szCs w:val="32"/>
          <w:lang w:val="en-US" w:eastAsia="zh-CN"/>
        </w:rPr>
        <w:t>100亿元</w:t>
      </w:r>
      <w:r>
        <w:rPr>
          <w:rFonts w:cs="Times New Roman"/>
          <w:sz w:val="32"/>
          <w:szCs w:val="32"/>
        </w:rPr>
        <w:t>。</w:t>
      </w:r>
    </w:p>
    <w:tbl>
      <w:tblPr>
        <w:tblStyle w:val="25"/>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8346" w:type="dxa"/>
          </w:tcPr>
          <w:p>
            <w:pPr>
              <w:spacing w:line="440" w:lineRule="exact"/>
              <w:ind w:firstLine="0" w:firstLineChars="0"/>
              <w:jc w:val="left"/>
              <w:rPr>
                <w:rFonts w:hint="eastAsia" w:ascii="黑体" w:hAnsi="黑体" w:eastAsia="黑体" w:cs="黑体"/>
                <w:sz w:val="24"/>
                <w:szCs w:val="24"/>
              </w:rPr>
            </w:pPr>
            <w:r>
              <w:rPr>
                <w:rFonts w:hint="eastAsia" w:ascii="黑体" w:hAnsi="黑体" w:eastAsia="黑体" w:cs="黑体"/>
                <w:sz w:val="24"/>
                <w:szCs w:val="24"/>
              </w:rPr>
              <w:t>专栏</w:t>
            </w:r>
            <w:r>
              <w:rPr>
                <w:rFonts w:hint="eastAsia" w:ascii="黑体" w:hAnsi="黑体" w:eastAsia="黑体" w:cs="黑体"/>
                <w:sz w:val="24"/>
                <w:szCs w:val="24"/>
                <w:lang w:val="en-US" w:eastAsia="zh-CN"/>
              </w:rPr>
              <w:t>4：</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eastAsia="黑体" w:cs="Times New Roman"/>
              </w:rPr>
            </w:pPr>
            <w:r>
              <w:rPr>
                <w:rFonts w:hint="eastAsia" w:eastAsia="黑体" w:cs="Times New Roman"/>
                <w:lang w:eastAsia="zh-CN"/>
              </w:rPr>
              <w:t>接续</w:t>
            </w:r>
            <w:r>
              <w:rPr>
                <w:rFonts w:eastAsia="黑体" w:cs="Times New Roman"/>
              </w:rPr>
              <w:t>产业重点工程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both"/>
              <w:textAlignment w:val="auto"/>
              <w:rPr>
                <w:rFonts w:hint="eastAsia" w:ascii="仿宋_GB2312" w:hAnsi="仿宋_GB2312" w:cs="仿宋_GB2312"/>
                <w:sz w:val="24"/>
                <w:szCs w:val="24"/>
                <w:lang w:val="en-US" w:eastAsia="zh-CN"/>
              </w:rPr>
            </w:pPr>
            <w:r>
              <w:rPr>
                <w:rFonts w:hint="eastAsia" w:ascii="楷体_GB2312" w:hAnsi="楷体_GB2312" w:eastAsia="楷体_GB2312" w:cs="楷体_GB2312"/>
                <w:b/>
                <w:bCs/>
                <w:sz w:val="24"/>
                <w:szCs w:val="24"/>
                <w:lang w:eastAsia="zh-CN"/>
              </w:rPr>
              <w:t>新能源</w:t>
            </w:r>
            <w:r>
              <w:rPr>
                <w:rFonts w:hint="eastAsia" w:ascii="楷体_GB2312" w:hAnsi="楷体_GB2312" w:eastAsia="楷体_GB2312" w:cs="楷体_GB2312"/>
                <w:b/>
                <w:bCs/>
                <w:sz w:val="24"/>
                <w:szCs w:val="24"/>
              </w:rPr>
              <w:t>：</w:t>
            </w:r>
            <w:r>
              <w:rPr>
                <w:rFonts w:hint="eastAsia" w:ascii="仿宋_GB2312" w:hAnsi="仿宋_GB2312" w:eastAsia="仿宋_GB2312" w:cs="仿宋_GB2312"/>
                <w:sz w:val="24"/>
                <w:szCs w:val="24"/>
                <w:lang w:eastAsia="zh-CN"/>
              </w:rPr>
              <w:t>国华锦界风电</w:t>
            </w:r>
            <w:r>
              <w:rPr>
                <w:rFonts w:hint="eastAsia" w:ascii="仿宋_GB2312" w:hAnsi="仿宋_GB2312" w:eastAsia="仿宋_GB2312" w:cs="仿宋_GB2312"/>
                <w:sz w:val="24"/>
                <w:szCs w:val="24"/>
                <w:lang w:val="en-US" w:eastAsia="zh-CN"/>
              </w:rPr>
              <w:t>2200MW、光电4700MW</w:t>
            </w:r>
            <w:r>
              <w:rPr>
                <w:rFonts w:hint="eastAsia" w:ascii="仿宋_GB2312" w:hAnsi="仿宋_GB2312" w:cs="仿宋_GB2312"/>
                <w:sz w:val="24"/>
                <w:szCs w:val="24"/>
                <w:lang w:val="en-US" w:eastAsia="zh-CN"/>
              </w:rPr>
              <w:t>；国源电力（神东电力）500</w:t>
            </w:r>
            <w:r>
              <w:rPr>
                <w:rFonts w:hint="eastAsia" w:ascii="仿宋_GB2312" w:hAnsi="仿宋_GB2312" w:eastAsia="仿宋_GB2312" w:cs="仿宋_GB2312"/>
                <w:sz w:val="24"/>
                <w:szCs w:val="24"/>
                <w:lang w:val="en-US" w:eastAsia="zh-CN"/>
              </w:rPr>
              <w:t>MW</w:t>
            </w:r>
            <w:r>
              <w:rPr>
                <w:rFonts w:hint="eastAsia" w:ascii="仿宋_GB2312" w:hAnsi="仿宋_GB2312" w:cs="仿宋_GB2312"/>
                <w:sz w:val="24"/>
                <w:szCs w:val="24"/>
                <w:lang w:val="en-US" w:eastAsia="zh-CN"/>
              </w:rPr>
              <w:t>光伏、100MW分布式发电；</w:t>
            </w:r>
            <w:r>
              <w:rPr>
                <w:rFonts w:hint="eastAsia" w:ascii="仿宋_GB2312" w:hAnsi="仿宋_GB2312" w:eastAsia="仿宋_GB2312" w:cs="仿宋_GB2312"/>
                <w:sz w:val="24"/>
                <w:szCs w:val="24"/>
                <w:lang w:val="en-US" w:eastAsia="zh-CN"/>
              </w:rPr>
              <w:t>采煤沉陷区3GW光伏治理示范基地项目</w:t>
            </w:r>
            <w:r>
              <w:rPr>
                <w:rFonts w:hint="eastAsia" w:ascii="仿宋_GB2312" w:hAnsi="仿宋_GB2312" w:cs="仿宋_GB2312"/>
                <w:sz w:val="24"/>
                <w:szCs w:val="24"/>
                <w:lang w:val="en-US" w:eastAsia="zh-CN"/>
              </w:rPr>
              <w:t>；</w:t>
            </w:r>
            <w:r>
              <w:rPr>
                <w:rFonts w:hint="eastAsia" w:ascii="仿宋_GB2312" w:hAnsi="仿宋_GB2312" w:cs="仿宋_GB2312"/>
                <w:sz w:val="24"/>
                <w:szCs w:val="24"/>
                <w:lang w:eastAsia="zh-CN"/>
              </w:rPr>
              <w:t>积极争取氢能产业布局试点</w:t>
            </w:r>
            <w:r>
              <w:rPr>
                <w:rFonts w:hint="eastAsia" w:ascii="仿宋_GB2312" w:hAnsi="仿宋_GB2312" w:eastAsia="仿宋_GB2312" w:cs="仿宋_GB2312"/>
                <w:sz w:val="24"/>
                <w:szCs w:val="24"/>
                <w:lang w:eastAsia="zh-CN"/>
              </w:rPr>
              <w:t>，融合电力、供热、燃料、原料等多个领域</w:t>
            </w:r>
            <w:r>
              <w:rPr>
                <w:rFonts w:hint="eastAsia" w:ascii="仿宋_GB2312" w:hAnsi="仿宋_GB2312" w:cs="仿宋_GB2312"/>
                <w:sz w:val="24"/>
                <w:szCs w:val="24"/>
                <w:lang w:eastAsia="zh-CN"/>
              </w:rPr>
              <w:t>，打造</w:t>
            </w:r>
            <w:r>
              <w:rPr>
                <w:rFonts w:hint="eastAsia" w:ascii="仿宋_GB2312" w:hAnsi="仿宋_GB2312" w:eastAsia="仿宋_GB2312" w:cs="仿宋_GB2312"/>
                <w:sz w:val="24"/>
                <w:szCs w:val="24"/>
                <w:lang w:eastAsia="zh-CN"/>
              </w:rPr>
              <w:t>多能互补基地建设</w:t>
            </w:r>
            <w:r>
              <w:rPr>
                <w:rFonts w:hint="eastAsia" w:ascii="仿宋_GB2312" w:hAnsi="仿宋_GB2312" w:cs="仿宋_GB2312"/>
                <w:sz w:val="24"/>
                <w:szCs w:val="24"/>
                <w:lang w:eastAsia="zh-CN"/>
              </w:rPr>
              <w:t>。</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cs="Times New Roman"/>
                <w:color w:val="0000FF"/>
                <w:sz w:val="28"/>
                <w:szCs w:val="24"/>
              </w:rPr>
            </w:pPr>
            <w:r>
              <w:rPr>
                <w:rFonts w:hint="eastAsia" w:ascii="楷体_GB2312" w:hAnsi="楷体_GB2312" w:eastAsia="楷体_GB2312" w:cs="楷体_GB2312"/>
                <w:b/>
                <w:bCs/>
                <w:sz w:val="24"/>
                <w:szCs w:val="24"/>
                <w:lang w:val="en-US" w:eastAsia="zh-CN"/>
              </w:rPr>
              <w:t>农业精深加工</w:t>
            </w:r>
            <w:r>
              <w:rPr>
                <w:rFonts w:hint="eastAsia" w:ascii="楷体_GB2312" w:hAnsi="楷体_GB2312" w:eastAsia="楷体_GB2312" w:cs="楷体_GB2312"/>
                <w:b/>
                <w:bCs/>
                <w:sz w:val="24"/>
                <w:szCs w:val="24"/>
              </w:rPr>
              <w:t>：</w:t>
            </w:r>
            <w:r>
              <w:rPr>
                <w:rFonts w:hint="eastAsia" w:ascii="仿宋_GB2312" w:hAnsi="仿宋_GB2312" w:eastAsia="仿宋_GB2312" w:cs="仿宋_GB2312"/>
                <w:sz w:val="24"/>
                <w:szCs w:val="24"/>
                <w:lang w:val="en-US" w:eastAsia="zh-CN"/>
              </w:rPr>
              <w:t>在农高区布局畜禽养殖试验示范及推广、油料作物深加工、豆制品深加工、蔬菜深加工、马铃薯深加工、食用菌深加工、红枣精选及深加工、肉食品加工、果类制品及深加工</w:t>
            </w:r>
            <w:r>
              <w:rPr>
                <w:rFonts w:hint="eastAsia" w:ascii="仿宋_GB2312" w:hAnsi="仿宋_GB2312" w:cs="仿宋_GB2312"/>
                <w:sz w:val="24"/>
                <w:szCs w:val="24"/>
                <w:lang w:val="en-US" w:eastAsia="zh-CN"/>
              </w:rPr>
              <w:t>、工厂化育苗</w:t>
            </w:r>
            <w:r>
              <w:rPr>
                <w:rFonts w:hint="eastAsia" w:ascii="仿宋_GB2312" w:hAnsi="仿宋_GB2312" w:eastAsia="仿宋_GB2312" w:cs="仿宋_GB2312"/>
                <w:sz w:val="24"/>
                <w:szCs w:val="24"/>
                <w:lang w:val="en-US" w:eastAsia="zh-CN"/>
              </w:rPr>
              <w:t>等项目。</w:t>
            </w:r>
            <w:r>
              <w:rPr>
                <w:rFonts w:hint="eastAsia" w:ascii="仿宋_GB2312" w:hAnsi="仿宋_GB2312" w:eastAsia="仿宋_GB2312" w:cs="仿宋_GB2312"/>
                <w:color w:val="000000"/>
                <w:sz w:val="24"/>
                <w:szCs w:val="24"/>
                <w:lang w:bidi="ar"/>
              </w:rPr>
              <w:t>神木道地中药材种植加工</w:t>
            </w:r>
            <w:r>
              <w:rPr>
                <w:rFonts w:hint="eastAsia" w:ascii="仿宋_GB2312" w:hAnsi="仿宋_GB2312" w:cs="仿宋_GB2312"/>
                <w:color w:val="000000"/>
                <w:sz w:val="24"/>
                <w:szCs w:val="24"/>
                <w:lang w:eastAsia="zh-CN" w:bidi="ar"/>
              </w:rPr>
              <w:t>，规划建设30万亩规模化中药材种植基地。</w:t>
            </w:r>
          </w:p>
        </w:tc>
      </w:tr>
    </w:tbl>
    <w:p>
      <w:pPr>
        <w:pStyle w:val="44"/>
        <w:adjustRightInd/>
        <w:snapToGrid/>
        <w:spacing w:before="156" w:beforeLines="50" w:after="156" w:afterLines="50"/>
        <w:ind w:firstLine="0" w:firstLineChars="0"/>
        <w:jc w:val="center"/>
        <w:outlineLvl w:val="1"/>
        <w:rPr>
          <w:rFonts w:hint="default" w:ascii="楷体_GB2312" w:hAnsi="楷体_GB2312" w:eastAsia="楷体_GB2312" w:cs="楷体_GB2312"/>
          <w:bCs/>
          <w:sz w:val="32"/>
          <w:szCs w:val="32"/>
          <w:lang w:val="en-US" w:eastAsia="zh-CN"/>
        </w:rPr>
      </w:pPr>
      <w:bookmarkStart w:id="17" w:name="_Toc30750"/>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val="en-US" w:eastAsia="zh-CN"/>
        </w:rPr>
        <w:t>三</w:t>
      </w:r>
      <w:r>
        <w:rPr>
          <w:rFonts w:hint="eastAsia" w:ascii="楷体_GB2312" w:hAnsi="楷体_GB2312" w:eastAsia="楷体_GB2312" w:cs="楷体_GB2312"/>
          <w:bCs/>
          <w:sz w:val="32"/>
          <w:szCs w:val="32"/>
        </w:rPr>
        <w:t xml:space="preserve">节 </w:t>
      </w:r>
      <w:r>
        <w:rPr>
          <w:rFonts w:hint="eastAsia" w:ascii="楷体_GB2312" w:hAnsi="楷体_GB2312" w:eastAsia="楷体_GB2312" w:cs="楷体_GB2312"/>
          <w:bCs/>
          <w:sz w:val="32"/>
          <w:szCs w:val="32"/>
          <w:lang w:val="en-US" w:eastAsia="zh-CN"/>
        </w:rPr>
        <w:t>大力引进新兴产业</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jc w:val="both"/>
        <w:rPr>
          <w:rFonts w:cs="Times New Roman"/>
          <w:sz w:val="32"/>
          <w:szCs w:val="32"/>
        </w:rPr>
      </w:pPr>
      <w:r>
        <w:rPr>
          <w:rFonts w:hint="eastAsia" w:ascii="Times New Roman" w:hAnsi="Times New Roman" w:eastAsia="仿宋_GB2312" w:cs="Times New Roman"/>
          <w:b/>
          <w:bCs/>
          <w:sz w:val="32"/>
          <w:szCs w:val="32"/>
          <w:lang w:val="en-US" w:eastAsia="zh-CN" w:bidi="ar-SA"/>
        </w:rPr>
        <w:t>打造金属镁精深加工集聚地。</w:t>
      </w:r>
      <w:r>
        <w:rPr>
          <w:rFonts w:cs="Times New Roman"/>
          <w:sz w:val="32"/>
          <w:szCs w:val="32"/>
        </w:rPr>
        <w:t>全链条改造升级金属镁产业，延伸产业链条，加快关键技术攻关，建设高新区镁综合利用和镁合金深加工产业园，重点发展高纯镁、高品质镁合金、镁合金挤压型材和压铸件。拓展镁应用领域，发展轨道交通、电子信息、汽车零部件、航空航天、医疗器械、3C、电动车和民用工具等镁合金高端、终端应用产品。推动利臻5万吨镁合金高端型材挤压、5万吨稀土镁合金</w:t>
      </w:r>
      <w:r>
        <w:rPr>
          <w:rFonts w:hint="eastAsia" w:cs="Times New Roman"/>
          <w:sz w:val="32"/>
          <w:szCs w:val="32"/>
          <w:lang w:eastAsia="zh-CN"/>
        </w:rPr>
        <w:t>等</w:t>
      </w:r>
      <w:r>
        <w:rPr>
          <w:rFonts w:cs="Times New Roman"/>
          <w:sz w:val="32"/>
          <w:szCs w:val="32"/>
        </w:rPr>
        <w:t>项目建成投产。到2025年，培育金属镁</w:t>
      </w:r>
      <w:r>
        <w:rPr>
          <w:rFonts w:hint="eastAsia" w:cs="Times New Roman"/>
          <w:sz w:val="32"/>
          <w:szCs w:val="32"/>
          <w:lang w:val="en-US" w:eastAsia="zh-CN"/>
        </w:rPr>
        <w:t>精</w:t>
      </w:r>
      <w:r>
        <w:rPr>
          <w:rFonts w:cs="Times New Roman"/>
          <w:sz w:val="32"/>
          <w:szCs w:val="32"/>
        </w:rPr>
        <w:t>深加工企业10户以上，镁合金产品产量达到1</w:t>
      </w:r>
      <w:r>
        <w:rPr>
          <w:rFonts w:hint="eastAsia" w:cs="Times New Roman"/>
          <w:sz w:val="32"/>
          <w:szCs w:val="32"/>
          <w:lang w:val="en-US" w:eastAsia="zh-CN"/>
        </w:rPr>
        <w:t>0</w:t>
      </w:r>
      <w:r>
        <w:rPr>
          <w:rFonts w:cs="Times New Roman"/>
          <w:sz w:val="32"/>
          <w:szCs w:val="32"/>
        </w:rPr>
        <w:t>万吨，产值突破300亿元。</w:t>
      </w:r>
    </w:p>
    <w:p>
      <w:pPr>
        <w:pStyle w:val="39"/>
        <w:keepNext w:val="0"/>
        <w:keepLines w:val="0"/>
        <w:pageBreakBefore w:val="0"/>
        <w:widowControl w:val="0"/>
        <w:kinsoku/>
        <w:wordWrap/>
        <w:overflowPunct/>
        <w:topLinePunct w:val="0"/>
        <w:autoSpaceDE/>
        <w:autoSpaceDN/>
        <w:bidi w:val="0"/>
        <w:spacing w:line="560" w:lineRule="exact"/>
        <w:ind w:firstLine="640"/>
        <w:rPr>
          <w:rFonts w:ascii="Times New Roman" w:hAnsi="Times New Roman" w:cs="Times New Roman"/>
          <w:sz w:val="32"/>
          <w:szCs w:val="32"/>
          <w:highlight w:val="yellow"/>
        </w:rPr>
      </w:pPr>
      <w:r>
        <w:rPr>
          <w:rFonts w:hint="eastAsia" w:ascii="Times New Roman" w:hAnsi="Times New Roman" w:cs="Times New Roman"/>
          <w:b/>
          <w:bCs/>
          <w:sz w:val="32"/>
          <w:szCs w:val="32"/>
          <w:lang w:val="en-US" w:eastAsia="zh-CN"/>
        </w:rPr>
        <w:t>大力引进</w:t>
      </w:r>
      <w:r>
        <w:rPr>
          <w:rFonts w:ascii="Times New Roman" w:hAnsi="Times New Roman" w:cs="Times New Roman"/>
          <w:b/>
          <w:bCs/>
          <w:sz w:val="32"/>
          <w:szCs w:val="32"/>
        </w:rPr>
        <w:t>智能装备制造产业。</w:t>
      </w:r>
      <w:r>
        <w:rPr>
          <w:rFonts w:hint="eastAsia" w:ascii="Times New Roman" w:hAnsi="Times New Roman" w:cs="Times New Roman"/>
          <w:sz w:val="32"/>
          <w:szCs w:val="32"/>
          <w:lang w:val="en-US" w:eastAsia="zh-CN"/>
        </w:rPr>
        <w:t>主动</w:t>
      </w:r>
      <w:r>
        <w:rPr>
          <w:rFonts w:ascii="Times New Roman" w:hAnsi="Times New Roman" w:cs="Times New Roman"/>
          <w:sz w:val="32"/>
          <w:szCs w:val="32"/>
        </w:rPr>
        <w:t>承接东部产业转移，围绕能源化工产业发展需求，发展矿山设备、化工专用设备、节能环保、应急装备等高端装备制造业。培育发展高端智能无人车辆装备、管带运输装备、工业和消费机器人、无人机、自动驾驶等智能装备配套产业。推动新石器慧通无人车、北京凌天智能装备等项目建成投产。到2025年，智能装备制造产业产值达到</w:t>
      </w:r>
      <w:r>
        <w:rPr>
          <w:rFonts w:hint="eastAsia" w:ascii="Times New Roman" w:hAnsi="Times New Roman" w:cs="Times New Roman"/>
          <w:sz w:val="32"/>
          <w:szCs w:val="32"/>
          <w:lang w:val="en-US" w:eastAsia="zh-CN"/>
        </w:rPr>
        <w:t>100</w:t>
      </w:r>
      <w:r>
        <w:rPr>
          <w:rFonts w:ascii="Times New Roman" w:hAnsi="Times New Roman" w:cs="Times New Roman"/>
          <w:sz w:val="32"/>
          <w:szCs w:val="32"/>
        </w:rPr>
        <w:t>亿</w:t>
      </w:r>
      <w:r>
        <w:rPr>
          <w:rFonts w:hint="eastAsia" w:ascii="Times New Roman" w:hAnsi="Times New Roman" w:cs="Times New Roman"/>
          <w:sz w:val="32"/>
          <w:szCs w:val="32"/>
          <w:lang w:eastAsia="zh-CN"/>
        </w:rPr>
        <w:t>元</w:t>
      </w:r>
      <w:r>
        <w:rPr>
          <w:rFonts w:ascii="Times New Roman" w:hAnsi="Times New Roman" w:cs="Times New Roman"/>
          <w:sz w:val="32"/>
          <w:szCs w:val="32"/>
        </w:rPr>
        <w:t>。</w:t>
      </w:r>
    </w:p>
    <w:p>
      <w:pPr>
        <w:keepNext w:val="0"/>
        <w:keepLines w:val="0"/>
        <w:pageBreakBefore w:val="0"/>
        <w:widowControl w:val="0"/>
        <w:kinsoku/>
        <w:wordWrap/>
        <w:overflowPunct/>
        <w:topLinePunct w:val="0"/>
        <w:autoSpaceDE/>
        <w:autoSpaceDN/>
        <w:bidi w:val="0"/>
        <w:spacing w:line="560" w:lineRule="exact"/>
        <w:ind w:firstLine="640"/>
        <w:rPr>
          <w:rFonts w:cs="Times New Roman"/>
          <w:color w:val="0000FF"/>
          <w:sz w:val="32"/>
          <w:szCs w:val="32"/>
        </w:rPr>
      </w:pPr>
      <w:r>
        <w:rPr>
          <w:rFonts w:cs="Times New Roman"/>
          <w:b/>
          <w:bCs/>
          <w:sz w:val="32"/>
          <w:szCs w:val="32"/>
        </w:rPr>
        <w:t>积极培育大健康产业。</w:t>
      </w:r>
      <w:r>
        <w:rPr>
          <w:rFonts w:cs="Times New Roman"/>
          <w:sz w:val="32"/>
          <w:szCs w:val="32"/>
        </w:rPr>
        <w:t>依托化工产业基础优势，引进行业龙头企业，带动医药中间体、维生素以及医用口罩、防护服等产业发展。适度发展红枣、小米、小杂粮等高附加值保健产业，壮大黄芪、甘草、苦参等深加工产业，开发药食同源产品。大力开发羊子等</w:t>
      </w:r>
      <w:r>
        <w:rPr>
          <w:rFonts w:cs="Times New Roman"/>
          <w:color w:val="000000"/>
          <w:sz w:val="31"/>
          <w:szCs w:val="31"/>
          <w:lang w:bidi="ar"/>
        </w:rPr>
        <w:t>牲畜副产品生物制剂和保健品。</w:t>
      </w:r>
      <w:r>
        <w:rPr>
          <w:rFonts w:hint="eastAsia" w:cs="Times New Roman"/>
          <w:color w:val="000000"/>
          <w:sz w:val="31"/>
          <w:szCs w:val="31"/>
          <w:lang w:eastAsia="zh-CN" w:bidi="ar"/>
        </w:rPr>
        <w:t>增加街道、社区康养医疗服务网点，鼓励支持民营经济创办康复、养生、中医院和保健产业。</w:t>
      </w:r>
      <w:r>
        <w:rPr>
          <w:rFonts w:cs="Times New Roman"/>
          <w:sz w:val="32"/>
          <w:szCs w:val="32"/>
        </w:rPr>
        <w:t>到2025年，大健康产业产值达到20亿元。</w:t>
      </w:r>
    </w:p>
    <w:p>
      <w:pPr>
        <w:keepNext w:val="0"/>
        <w:keepLines w:val="0"/>
        <w:pageBreakBefore w:val="0"/>
        <w:widowControl w:val="0"/>
        <w:kinsoku/>
        <w:wordWrap/>
        <w:overflowPunct/>
        <w:topLinePunct w:val="0"/>
        <w:autoSpaceDE/>
        <w:autoSpaceDN/>
        <w:bidi w:val="0"/>
        <w:spacing w:line="560" w:lineRule="exact"/>
        <w:ind w:firstLine="640"/>
        <w:jc w:val="both"/>
        <w:rPr>
          <w:rFonts w:cs="Times New Roman"/>
          <w:sz w:val="32"/>
          <w:szCs w:val="32"/>
        </w:rPr>
      </w:pPr>
      <w:r>
        <w:rPr>
          <w:rFonts w:cs="Times New Roman"/>
          <w:b/>
          <w:bCs/>
          <w:kern w:val="2"/>
          <w:sz w:val="32"/>
          <w:szCs w:val="32"/>
        </w:rPr>
        <w:t>做大做强生产性服务业。现代物流。</w:t>
      </w:r>
      <w:r>
        <w:rPr>
          <w:rFonts w:cs="Times New Roman"/>
          <w:sz w:val="32"/>
          <w:szCs w:val="32"/>
        </w:rPr>
        <w:t>推进大宗货物、化工产品运输“公转铁</w:t>
      </w:r>
      <w:r>
        <w:rPr>
          <w:rStyle w:val="37"/>
          <w:rFonts w:cs="Times New Roman"/>
          <w:sz w:val="32"/>
          <w:szCs w:val="32"/>
        </w:rPr>
        <w:footnoteReference w:id="11"/>
      </w:r>
      <w:r>
        <w:rPr>
          <w:rFonts w:cs="Times New Roman"/>
          <w:sz w:val="32"/>
          <w:szCs w:val="32"/>
        </w:rPr>
        <w:t>”</w:t>
      </w:r>
      <w:r>
        <w:rPr>
          <w:rFonts w:hint="eastAsia" w:cs="Times New Roman"/>
          <w:sz w:val="32"/>
          <w:szCs w:val="32"/>
          <w:lang w:eastAsia="zh-CN"/>
        </w:rPr>
        <w:t>，</w:t>
      </w:r>
      <w:r>
        <w:rPr>
          <w:rFonts w:cs="Times New Roman"/>
          <w:sz w:val="32"/>
          <w:szCs w:val="32"/>
        </w:rPr>
        <w:t>依托包西、包神、神朔、靖神等支干线铁路，在大保当、西站</w:t>
      </w:r>
      <w:r>
        <w:rPr>
          <w:rFonts w:hint="eastAsia" w:cs="Times New Roman"/>
          <w:sz w:val="32"/>
          <w:szCs w:val="32"/>
          <w:lang w:eastAsia="zh-CN"/>
        </w:rPr>
        <w:t>、店塔</w:t>
      </w:r>
      <w:r>
        <w:rPr>
          <w:rFonts w:cs="Times New Roman"/>
          <w:sz w:val="32"/>
          <w:szCs w:val="32"/>
        </w:rPr>
        <w:t>等地规划建设</w:t>
      </w:r>
      <w:r>
        <w:rPr>
          <w:rFonts w:hint="eastAsia" w:cs="Times New Roman"/>
          <w:sz w:val="32"/>
          <w:szCs w:val="32"/>
          <w:lang w:eastAsia="zh-CN"/>
        </w:rPr>
        <w:t>智慧</w:t>
      </w:r>
      <w:r>
        <w:rPr>
          <w:rFonts w:cs="Times New Roman"/>
          <w:sz w:val="32"/>
          <w:szCs w:val="32"/>
        </w:rPr>
        <w:t>物流</w:t>
      </w:r>
      <w:r>
        <w:rPr>
          <w:rFonts w:hint="eastAsia" w:cs="Times New Roman"/>
          <w:sz w:val="32"/>
          <w:szCs w:val="32"/>
          <w:lang w:eastAsia="zh-CN"/>
        </w:rPr>
        <w:t>、多式联运</w:t>
      </w:r>
      <w:r>
        <w:rPr>
          <w:rFonts w:cs="Times New Roman"/>
          <w:sz w:val="32"/>
          <w:szCs w:val="32"/>
        </w:rPr>
        <w:t>集散区。建成神木西站枢纽型现代物流园区，加快隆德、锦清、国能、志昊等铁路专用线及集运站建设，培育发展秦峰能源等一批具有较强竞争力的现代物流企业。提升商贸、冷链、电商等物流产业发展水平。到2025年，全市铁路货运量增加5000万吨，交通运输业增加值增速保持在20%以上。</w:t>
      </w:r>
      <w:r>
        <w:rPr>
          <w:rFonts w:cs="Times New Roman"/>
          <w:b/>
          <w:bCs/>
          <w:kern w:val="2"/>
          <w:sz w:val="32"/>
          <w:szCs w:val="32"/>
        </w:rPr>
        <w:t>现代金融。</w:t>
      </w:r>
      <w:r>
        <w:rPr>
          <w:rFonts w:cs="Times New Roman"/>
          <w:sz w:val="32"/>
          <w:szCs w:val="32"/>
        </w:rPr>
        <w:t>打造金融一条街，引进银行、保险等金融机构设立功能性总部，健全股票、期货、基金等品种齐全、功能完备的金融产业链。做强神木国有资本运营集团，组建神木民间资本投资公司，提升金融服务实体经济能力。大力支持企业上市，新增主板上市公司2家。“十四五”期间金融业增加值年均增速10%以上。</w:t>
      </w:r>
      <w:r>
        <w:rPr>
          <w:rFonts w:cs="Times New Roman"/>
          <w:b/>
          <w:bCs/>
          <w:kern w:val="2"/>
          <w:sz w:val="32"/>
          <w:szCs w:val="32"/>
        </w:rPr>
        <w:t>电子商务。</w:t>
      </w:r>
      <w:r>
        <w:rPr>
          <w:rFonts w:cs="Times New Roman"/>
          <w:sz w:val="32"/>
          <w:szCs w:val="32"/>
        </w:rPr>
        <w:t>加强移动、跨境、农村等电商平台建设，建成滨河新区电子商务产业园，提升煤亮子、兰炭联等电商平台运营能力，打造省级数字经济示范区。到2025年，电子商务交易额达800亿元。</w:t>
      </w:r>
      <w:r>
        <w:rPr>
          <w:rFonts w:cs="Times New Roman"/>
          <w:b/>
          <w:bCs/>
          <w:sz w:val="32"/>
          <w:szCs w:val="32"/>
        </w:rPr>
        <w:t>通用航空产业。</w:t>
      </w:r>
      <w:r>
        <w:rPr>
          <w:rFonts w:cs="Times New Roman"/>
          <w:kern w:val="2"/>
          <w:sz w:val="32"/>
          <w:szCs w:val="32"/>
        </w:rPr>
        <w:t>建成通用航空产业园，发展</w:t>
      </w:r>
      <w:r>
        <w:rPr>
          <w:rFonts w:eastAsia="仿宋" w:cs="Times New Roman"/>
          <w:color w:val="000000"/>
          <w:sz w:val="32"/>
          <w:szCs w:val="32"/>
          <w:lang w:bidi="ar"/>
        </w:rPr>
        <w:t>商务出行、</w:t>
      </w:r>
      <w:r>
        <w:rPr>
          <w:rFonts w:cs="Times New Roman"/>
          <w:kern w:val="2"/>
          <w:sz w:val="32"/>
          <w:szCs w:val="32"/>
        </w:rPr>
        <w:t>航空旅游、飞机拆解、小型飞机组装、通航培训、航空器件代工、应急救援等产业。</w:t>
      </w:r>
      <w:r>
        <w:rPr>
          <w:rFonts w:cs="Times New Roman"/>
          <w:b/>
          <w:bCs/>
          <w:kern w:val="2"/>
          <w:sz w:val="32"/>
          <w:szCs w:val="32"/>
        </w:rPr>
        <w:t>科技服务。</w:t>
      </w:r>
      <w:r>
        <w:rPr>
          <w:rFonts w:cs="Times New Roman"/>
          <w:sz w:val="32"/>
          <w:szCs w:val="32"/>
        </w:rPr>
        <w:t>发展技术孵化、技术转移、检验检测、知识产权等专业技术服务，重点打造农高区和创新谷科技服务集聚区。</w:t>
      </w:r>
      <w:r>
        <w:rPr>
          <w:rFonts w:cs="Times New Roman"/>
          <w:b/>
          <w:bCs/>
          <w:kern w:val="2"/>
          <w:sz w:val="32"/>
          <w:szCs w:val="32"/>
        </w:rPr>
        <w:t>研发设计。</w:t>
      </w:r>
      <w:r>
        <w:rPr>
          <w:rFonts w:cs="Times New Roman"/>
          <w:sz w:val="32"/>
          <w:szCs w:val="32"/>
        </w:rPr>
        <w:t>围绕能源化工、高端装备、新材料、新能源、节能环保、现代农业等领域建设研发设计中心，重点打造高新区、经开区、农高区等市内研发设计集聚区。</w:t>
      </w:r>
    </w:p>
    <w:tbl>
      <w:tblPr>
        <w:tblStyle w:val="25"/>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8346" w:type="dxa"/>
          </w:tcPr>
          <w:p>
            <w:pPr>
              <w:spacing w:line="440" w:lineRule="exact"/>
              <w:ind w:firstLine="0" w:firstLineChars="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专栏</w:t>
            </w:r>
            <w:r>
              <w:rPr>
                <w:rFonts w:hint="eastAsia" w:ascii="楷体_GB2312" w:hAnsi="楷体_GB2312" w:eastAsia="楷体_GB2312" w:cs="楷体_GB2312"/>
                <w:sz w:val="24"/>
                <w:szCs w:val="24"/>
                <w:lang w:val="en-US" w:eastAsia="zh-CN"/>
              </w:rPr>
              <w:t>5：</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eastAsia="黑体" w:cs="Times New Roman"/>
              </w:rPr>
            </w:pPr>
            <w:r>
              <w:rPr>
                <w:rFonts w:hint="eastAsia" w:eastAsia="黑体" w:cs="Times New Roman"/>
                <w:lang w:eastAsia="zh-CN"/>
              </w:rPr>
              <w:t>战略性新兴</w:t>
            </w:r>
            <w:r>
              <w:rPr>
                <w:rFonts w:eastAsia="黑体" w:cs="Times New Roman"/>
              </w:rPr>
              <w:t>产业重点工程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cs="仿宋_GB2312"/>
                <w:sz w:val="24"/>
                <w:szCs w:val="24"/>
                <w:lang w:eastAsia="zh-CN"/>
              </w:rPr>
            </w:pPr>
            <w:r>
              <w:rPr>
                <w:rFonts w:hint="eastAsia" w:ascii="楷体_GB2312" w:hAnsi="楷体_GB2312" w:eastAsia="楷体_GB2312" w:cs="楷体_GB2312"/>
                <w:b/>
                <w:bCs/>
                <w:sz w:val="24"/>
                <w:szCs w:val="24"/>
                <w:lang w:eastAsia="zh-CN"/>
              </w:rPr>
              <w:t>金属镁及深加工：</w:t>
            </w:r>
            <w:r>
              <w:rPr>
                <w:rFonts w:hint="eastAsia" w:ascii="仿宋_GB2312" w:hAnsi="仿宋_GB2312" w:cs="仿宋_GB2312"/>
                <w:sz w:val="24"/>
                <w:szCs w:val="24"/>
                <w:lang w:eastAsia="zh-CN"/>
              </w:rPr>
              <w:t>建设镁综合利用和镁合金深加工产业园，引进金属镁、铝深加工企业，开展金属镁、新型镁产品的生产研发、深加工和销售业务，建立镁铝产业服务平台，培育千亿镁铝产业集群。建成利臻5万吨镁合金高端型材、5万吨稀土镁合金、北京正德3万吨/年镁合金挤压型材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default" w:ascii="仿宋_GB2312" w:hAnsi="仿宋_GB2312" w:eastAsia="仿宋_GB2312" w:cs="仿宋_GB2312"/>
                <w:sz w:val="24"/>
                <w:szCs w:val="24"/>
                <w:lang w:val="en-US"/>
              </w:rPr>
            </w:pPr>
            <w:r>
              <w:rPr>
                <w:rFonts w:hint="eastAsia" w:ascii="楷体_GB2312" w:hAnsi="楷体_GB2312" w:eastAsia="楷体_GB2312" w:cs="楷体_GB2312"/>
                <w:b/>
                <w:bCs/>
                <w:sz w:val="24"/>
                <w:szCs w:val="24"/>
              </w:rPr>
              <w:t>高端装备制造：</w:t>
            </w:r>
            <w:r>
              <w:rPr>
                <w:rFonts w:hint="eastAsia" w:ascii="仿宋_GB2312" w:hAnsi="仿宋_GB2312" w:cs="仿宋_GB2312"/>
                <w:sz w:val="24"/>
                <w:szCs w:val="24"/>
                <w:lang w:eastAsia="zh-CN"/>
              </w:rPr>
              <w:t>新石器慧通无人车、北京凌天智能机器人生产制造、山东矿用装备产业园、陕西达理光线神木智能产品研发生产基地；</w:t>
            </w:r>
            <w:r>
              <w:rPr>
                <w:rFonts w:hint="eastAsia" w:ascii="仿宋_GB2312" w:hAnsi="仿宋_GB2312" w:cs="仿宋_GB2312"/>
                <w:sz w:val="24"/>
                <w:szCs w:val="24"/>
                <w:lang w:val="en-US" w:eastAsia="zh-CN"/>
              </w:rPr>
              <w:t>神风重工二期。</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新材料：</w:t>
            </w:r>
            <w:r>
              <w:rPr>
                <w:rFonts w:hint="eastAsia" w:ascii="仿宋_GB2312" w:hAnsi="仿宋_GB2312" w:cs="仿宋_GB2312"/>
                <w:sz w:val="24"/>
                <w:szCs w:val="24"/>
                <w:lang w:val="en-US" w:eastAsia="zh-CN"/>
              </w:rPr>
              <w:t>氧化物TFT柔性显示材料、锂离子电池正极材料。</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default"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电子商务：</w:t>
            </w:r>
            <w:r>
              <w:rPr>
                <w:rFonts w:hint="eastAsia" w:ascii="仿宋_GB2312" w:hAnsi="仿宋_GB2312" w:cs="仿宋_GB2312"/>
                <w:sz w:val="24"/>
                <w:szCs w:val="24"/>
                <w:lang w:val="en-US" w:eastAsia="zh-CN"/>
              </w:rPr>
              <w:t>“煤亮子”工业互联网、兰炭联。</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cs="Times New Roman"/>
                <w:color w:val="0000FF"/>
                <w:sz w:val="28"/>
                <w:szCs w:val="24"/>
              </w:rPr>
            </w:pPr>
            <w:r>
              <w:rPr>
                <w:rFonts w:hint="eastAsia" w:ascii="楷体_GB2312" w:hAnsi="楷体_GB2312" w:eastAsia="楷体_GB2312" w:cs="楷体_GB2312"/>
                <w:b/>
                <w:bCs/>
                <w:sz w:val="24"/>
                <w:szCs w:val="24"/>
                <w:lang w:val="en-US" w:eastAsia="zh-CN"/>
              </w:rPr>
              <w:t>大健康产业</w:t>
            </w:r>
            <w:r>
              <w:rPr>
                <w:rFonts w:hint="eastAsia" w:ascii="楷体_GB2312" w:hAnsi="楷体_GB2312" w:eastAsia="楷体_GB2312" w:cs="楷体_GB2312"/>
                <w:b/>
                <w:bCs/>
                <w:sz w:val="24"/>
                <w:szCs w:val="24"/>
              </w:rPr>
              <w:t>：</w:t>
            </w:r>
            <w:r>
              <w:rPr>
                <w:rFonts w:hint="eastAsia" w:ascii="仿宋_GB2312" w:hAnsi="仿宋_GB2312" w:cs="仿宋_GB2312"/>
                <w:sz w:val="24"/>
                <w:szCs w:val="24"/>
                <w:lang w:val="en-US" w:eastAsia="zh-CN"/>
              </w:rPr>
              <w:t>在农高区布局卵泡刺激素生物制药、羊胚胎素加工、动物油脂深加工等项目。</w:t>
            </w:r>
          </w:p>
        </w:tc>
      </w:tr>
    </w:tbl>
    <w:p>
      <w:pPr>
        <w:adjustRightInd/>
        <w:snapToGrid/>
        <w:spacing w:line="576" w:lineRule="exact"/>
        <w:ind w:firstLine="640"/>
        <w:jc w:val="both"/>
      </w:pPr>
      <w:r>
        <w:rPr>
          <w:rFonts w:cs="Times New Roman"/>
          <w:b/>
          <w:bCs/>
          <w:kern w:val="2"/>
          <w:sz w:val="32"/>
          <w:szCs w:val="32"/>
        </w:rPr>
        <w:t>做精做优生活性服务业。商贸服务业。</w:t>
      </w:r>
      <w:r>
        <w:rPr>
          <w:rFonts w:cs="Times New Roman"/>
          <w:sz w:val="32"/>
          <w:szCs w:val="32"/>
        </w:rPr>
        <w:t>打造便民服务生活商圈，优化布局大型商贸中心、购物广场、商业网点以及城市综合体，提升现有家居建材城规模和品质，中心城区规划建设集农贸市场、便利店等服务于一体的社区综合服务中心。到2025年，商贸服务业</w:t>
      </w:r>
      <w:r>
        <w:rPr>
          <w:rFonts w:hint="eastAsia" w:cs="Times New Roman"/>
          <w:sz w:val="32"/>
          <w:szCs w:val="32"/>
          <w:lang w:eastAsia="zh-CN"/>
        </w:rPr>
        <w:t>营业额实现翻番</w:t>
      </w:r>
      <w:r>
        <w:rPr>
          <w:rFonts w:cs="Times New Roman"/>
          <w:color w:val="0000FF"/>
          <w:sz w:val="32"/>
          <w:szCs w:val="32"/>
        </w:rPr>
        <w:t>。</w:t>
      </w:r>
      <w:r>
        <w:rPr>
          <w:rFonts w:cs="Times New Roman"/>
          <w:b/>
          <w:bCs/>
          <w:kern w:val="2"/>
          <w:sz w:val="32"/>
          <w:szCs w:val="32"/>
        </w:rPr>
        <w:t>住宿餐饮业。</w:t>
      </w:r>
      <w:r>
        <w:rPr>
          <w:rFonts w:cs="Times New Roman"/>
          <w:sz w:val="32"/>
          <w:szCs w:val="32"/>
        </w:rPr>
        <w:t>提升住宿餐饮服务水平，推进住宿餐饮业连锁化经营，打造一批具有本土特色的老字号餐饮品牌，举办“非遗传承人”评选活动，鼓励引进知名品牌餐饮企业10家，引入品牌连锁住宿企业3家。到2025年，住宿餐饮业增加值达到</w:t>
      </w:r>
      <w:r>
        <w:rPr>
          <w:rFonts w:hint="eastAsia" w:cs="Times New Roman"/>
          <w:sz w:val="32"/>
          <w:szCs w:val="32"/>
          <w:lang w:val="en-US" w:eastAsia="zh-CN"/>
        </w:rPr>
        <w:t>10</w:t>
      </w:r>
      <w:r>
        <w:rPr>
          <w:rFonts w:cs="Times New Roman"/>
          <w:sz w:val="32"/>
          <w:szCs w:val="32"/>
        </w:rPr>
        <w:t>亿元。</w:t>
      </w:r>
      <w:r>
        <w:rPr>
          <w:rFonts w:cs="Times New Roman"/>
          <w:b/>
          <w:bCs/>
          <w:kern w:val="2"/>
          <w:sz w:val="32"/>
          <w:szCs w:val="32"/>
        </w:rPr>
        <w:t>健康养老。</w:t>
      </w:r>
      <w:r>
        <w:rPr>
          <w:rFonts w:cs="Times New Roman"/>
          <w:sz w:val="32"/>
          <w:szCs w:val="32"/>
        </w:rPr>
        <w:t>推动养老、医疗、保健服务一体化融合发展，增强多层次、多样化健康养老服务与产品供给。到2025年，</w:t>
      </w:r>
      <w:r>
        <w:rPr>
          <w:rFonts w:hint="eastAsia" w:cs="Times New Roman"/>
          <w:sz w:val="32"/>
          <w:szCs w:val="32"/>
          <w:lang w:eastAsia="zh-CN"/>
        </w:rPr>
        <w:t>新建</w:t>
      </w:r>
      <w:r>
        <w:rPr>
          <w:rFonts w:hint="eastAsia" w:cs="Times New Roman"/>
          <w:sz w:val="32"/>
          <w:szCs w:val="32"/>
          <w:lang w:val="en-US" w:eastAsia="zh-CN"/>
        </w:rPr>
        <w:t>20</w:t>
      </w:r>
      <w:r>
        <w:rPr>
          <w:rFonts w:hint="eastAsia" w:cs="Times New Roman"/>
          <w:sz w:val="32"/>
          <w:szCs w:val="32"/>
          <w:lang w:eastAsia="zh-CN"/>
        </w:rPr>
        <w:t>家医</w:t>
      </w:r>
      <w:r>
        <w:rPr>
          <w:rFonts w:cs="Times New Roman"/>
          <w:sz w:val="32"/>
          <w:szCs w:val="32"/>
        </w:rPr>
        <w:t>养结合机构。</w:t>
      </w:r>
      <w:r>
        <w:rPr>
          <w:rFonts w:cs="Times New Roman"/>
          <w:b/>
          <w:bCs/>
          <w:kern w:val="2"/>
          <w:sz w:val="32"/>
          <w:szCs w:val="32"/>
        </w:rPr>
        <w:t>便民服务。</w:t>
      </w:r>
      <w:r>
        <w:rPr>
          <w:rFonts w:cs="Times New Roman"/>
          <w:color w:val="000000"/>
          <w:sz w:val="32"/>
          <w:szCs w:val="32"/>
          <w:lang w:bidi="ar"/>
        </w:rPr>
        <w:t>完善便民服务网点，扩大家政保洁、保育托育、居家养老、看护护理、线上教育等服务供给，实现日、夜间社区照料全覆盖。</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8" w:name="_Toc26285"/>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val="en-US" w:eastAsia="zh-CN"/>
        </w:rPr>
        <w:t>四</w:t>
      </w:r>
      <w:r>
        <w:rPr>
          <w:rFonts w:hint="eastAsia" w:ascii="楷体_GB2312" w:hAnsi="楷体_GB2312" w:eastAsia="楷体_GB2312" w:cs="楷体_GB2312"/>
          <w:bCs/>
          <w:sz w:val="32"/>
          <w:szCs w:val="32"/>
        </w:rPr>
        <w:t>节 推进产业发展数字化</w:t>
      </w:r>
      <w:bookmarkEnd w:id="18"/>
    </w:p>
    <w:p>
      <w:pPr>
        <w:spacing w:line="576" w:lineRule="exact"/>
        <w:ind w:firstLine="640"/>
        <w:jc w:val="both"/>
        <w:rPr>
          <w:rFonts w:cs="Times New Roman"/>
          <w:color w:val="000000"/>
          <w:sz w:val="32"/>
          <w:szCs w:val="32"/>
          <w:lang w:bidi="ar"/>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425" w:num="1"/>
          <w:docGrid w:type="lines" w:linePitch="312" w:charSpace="0"/>
        </w:sectPr>
      </w:pPr>
      <w:r>
        <w:rPr>
          <w:rFonts w:cs="Times New Roman"/>
          <w:sz w:val="32"/>
          <w:szCs w:val="32"/>
        </w:rPr>
        <w:t>加快能源化工、现代农业等产业数字化转型，发展智能制造、数字能源、数字农业、智慧物流等新业态。推动产业信息化和工业化深度融合，建设能源制造业工业互联网平台，实施</w:t>
      </w:r>
      <w:r>
        <w:rPr>
          <w:rFonts w:cs="Times New Roman"/>
          <w:color w:val="000000"/>
          <w:sz w:val="32"/>
          <w:szCs w:val="32"/>
          <w:lang w:bidi="ar"/>
        </w:rPr>
        <w:t>“万家企业上云</w:t>
      </w:r>
      <w:r>
        <w:rPr>
          <w:rFonts w:hint="eastAsia" w:cs="Times New Roman"/>
          <w:color w:val="000000"/>
          <w:sz w:val="32"/>
          <w:szCs w:val="32"/>
          <w:lang w:bidi="ar"/>
        </w:rPr>
        <w:t>上链</w:t>
      </w:r>
      <w:r>
        <w:rPr>
          <w:rFonts w:cs="Times New Roman"/>
          <w:color w:val="000000"/>
          <w:sz w:val="32"/>
          <w:szCs w:val="32"/>
          <w:lang w:bidi="ar"/>
        </w:rPr>
        <w:t>”工程，</w:t>
      </w:r>
      <w:r>
        <w:rPr>
          <w:rFonts w:cs="Times New Roman"/>
          <w:sz w:val="32"/>
          <w:szCs w:val="32"/>
        </w:rPr>
        <w:t>培育5</w:t>
      </w:r>
      <w:r>
        <w:rPr>
          <w:rFonts w:cs="Times New Roman"/>
          <w:color w:val="000000"/>
          <w:sz w:val="32"/>
          <w:szCs w:val="32"/>
          <w:lang w:bidi="ar"/>
        </w:rPr>
        <w:t>家省级数字化车间和智能工厂。建设“兰炭联”“煤亮子”等产业互联网平台。推广农业云、农经云应用，建成省级农业物联网应用基地3个，实施盘塘农业互联网</w:t>
      </w:r>
      <w:r>
        <w:rPr>
          <w:rFonts w:cs="Times New Roman"/>
          <w:sz w:val="32"/>
          <w:szCs w:val="32"/>
        </w:rPr>
        <w:t>果蔬小镇项目</w:t>
      </w:r>
      <w:r>
        <w:rPr>
          <w:rFonts w:cs="Times New Roman"/>
          <w:color w:val="000000"/>
          <w:sz w:val="32"/>
          <w:szCs w:val="32"/>
          <w:lang w:bidi="ar"/>
        </w:rPr>
        <w:t>。</w:t>
      </w:r>
    </w:p>
    <w:p>
      <w:pPr>
        <w:pStyle w:val="3"/>
        <w:ind w:left="0" w:firstLine="0" w:firstLineChars="0"/>
        <w:rPr>
          <w:rFonts w:ascii="Times New Roman" w:hAnsi="Times New Roman" w:eastAsia="方正小标宋简体" w:cs="Times New Roman"/>
          <w:w w:val="85"/>
          <w:sz w:val="44"/>
          <w:szCs w:val="44"/>
        </w:rPr>
      </w:pPr>
      <w:bookmarkStart w:id="19" w:name="_Toc15551"/>
      <w:r>
        <w:rPr>
          <w:rFonts w:ascii="Times New Roman" w:hAnsi="Times New Roman" w:eastAsia="方正小标宋简体" w:cs="Times New Roman"/>
          <w:w w:val="85"/>
          <w:sz w:val="44"/>
          <w:szCs w:val="44"/>
        </w:rPr>
        <w:t>第五章 提升供给水平，</w:t>
      </w:r>
      <w:r>
        <w:rPr>
          <w:rFonts w:hint="eastAsia" w:ascii="Times New Roman" w:hAnsi="Times New Roman" w:eastAsia="方正小标宋简体" w:cs="Times New Roman"/>
          <w:w w:val="85"/>
          <w:sz w:val="44"/>
          <w:szCs w:val="44"/>
          <w:lang w:val="en-US" w:eastAsia="zh-CN"/>
        </w:rPr>
        <w:t>融入国际国内</w:t>
      </w:r>
      <w:r>
        <w:rPr>
          <w:rFonts w:ascii="Times New Roman" w:hAnsi="Times New Roman" w:eastAsia="方正小标宋简体" w:cs="Times New Roman"/>
          <w:w w:val="85"/>
          <w:sz w:val="44"/>
          <w:szCs w:val="44"/>
        </w:rPr>
        <w:t>双循环新格局</w:t>
      </w:r>
      <w:bookmarkEnd w:id="19"/>
    </w:p>
    <w:p>
      <w:pPr>
        <w:pStyle w:val="17"/>
        <w:spacing w:line="576" w:lineRule="exact"/>
        <w:ind w:firstLine="640"/>
        <w:jc w:val="both"/>
        <w:rPr>
          <w:sz w:val="32"/>
          <w:szCs w:val="32"/>
        </w:rPr>
      </w:pPr>
      <w:r>
        <w:rPr>
          <w:sz w:val="32"/>
          <w:szCs w:val="32"/>
        </w:rPr>
        <w:t>深化供给侧结构性改革，推动供给结构适应消费升级，加快能源主导产业链</w:t>
      </w:r>
      <w:r>
        <w:rPr>
          <w:rFonts w:hint="eastAsia"/>
          <w:sz w:val="32"/>
          <w:szCs w:val="32"/>
          <w:lang w:eastAsia="zh-CN"/>
        </w:rPr>
        <w:t>、</w:t>
      </w:r>
      <w:r>
        <w:rPr>
          <w:sz w:val="32"/>
          <w:szCs w:val="32"/>
        </w:rPr>
        <w:t>供应链</w:t>
      </w:r>
      <w:r>
        <w:rPr>
          <w:rFonts w:hint="eastAsia"/>
          <w:sz w:val="32"/>
          <w:szCs w:val="32"/>
          <w:lang w:eastAsia="zh-CN"/>
        </w:rPr>
        <w:t>和</w:t>
      </w:r>
      <w:r>
        <w:rPr>
          <w:sz w:val="32"/>
          <w:szCs w:val="32"/>
        </w:rPr>
        <w:t>价值链融入国内国际双循环体系。</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0" w:name="_Toc1084"/>
      <w:r>
        <w:rPr>
          <w:rFonts w:hint="eastAsia" w:ascii="楷体_GB2312" w:hAnsi="楷体_GB2312" w:eastAsia="楷体_GB2312" w:cs="楷体_GB2312"/>
          <w:bCs/>
          <w:sz w:val="32"/>
          <w:szCs w:val="32"/>
        </w:rPr>
        <w:t>第一节 扩大有效投资</w:t>
      </w:r>
      <w:bookmarkEnd w:id="20"/>
    </w:p>
    <w:p>
      <w:pPr>
        <w:spacing w:line="576" w:lineRule="exact"/>
        <w:ind w:firstLine="640"/>
        <w:jc w:val="both"/>
        <w:rPr>
          <w:rFonts w:cs="Times New Roman"/>
          <w:sz w:val="32"/>
          <w:szCs w:val="32"/>
        </w:rPr>
      </w:pPr>
      <w:r>
        <w:rPr>
          <w:rFonts w:cs="Times New Roman"/>
          <w:b/>
          <w:bCs/>
          <w:sz w:val="32"/>
          <w:szCs w:val="32"/>
        </w:rPr>
        <w:t>实施项目带动战略。</w:t>
      </w:r>
      <w:r>
        <w:rPr>
          <w:rFonts w:cs="Times New Roman"/>
          <w:sz w:val="32"/>
          <w:szCs w:val="32"/>
        </w:rPr>
        <w:t>把项目作为规划落地的重要抓手，建立市级投资项目储备库，推行项目退出增补机制，重点推进创新驱动、能源高端化等十大领域</w:t>
      </w:r>
      <w:r>
        <w:rPr>
          <w:rFonts w:hint="eastAsia" w:cs="Times New Roman"/>
          <w:sz w:val="32"/>
          <w:szCs w:val="32"/>
          <w:lang w:val="en-US" w:eastAsia="zh-CN"/>
        </w:rPr>
        <w:t>164</w:t>
      </w:r>
      <w:r>
        <w:rPr>
          <w:rFonts w:cs="Times New Roman"/>
          <w:sz w:val="32"/>
          <w:szCs w:val="32"/>
        </w:rPr>
        <w:t>个总投资1.</w:t>
      </w:r>
      <w:r>
        <w:rPr>
          <w:rFonts w:hint="eastAsia" w:cs="Times New Roman"/>
          <w:sz w:val="32"/>
          <w:szCs w:val="32"/>
          <w:lang w:val="en-US" w:eastAsia="zh-CN"/>
        </w:rPr>
        <w:t>1</w:t>
      </w:r>
      <w:r>
        <w:rPr>
          <w:rFonts w:cs="Times New Roman"/>
          <w:sz w:val="32"/>
          <w:szCs w:val="32"/>
        </w:rPr>
        <w:t>万亿元的重大项目。重点推进石峁遗址文化工程、省级农高区、恒力大保当纺织园、兰炭产业转型升级、黄河东线马镇引水、榆神府城际</w:t>
      </w:r>
      <w:r>
        <w:rPr>
          <w:rFonts w:hint="eastAsia" w:cs="Times New Roman"/>
          <w:sz w:val="32"/>
          <w:szCs w:val="32"/>
          <w:lang w:eastAsia="zh-CN"/>
        </w:rPr>
        <w:t>铁路</w:t>
      </w:r>
      <w:r>
        <w:rPr>
          <w:rFonts w:cs="Times New Roman"/>
          <w:sz w:val="32"/>
          <w:szCs w:val="32"/>
        </w:rPr>
        <w:t>、智慧神木等标志性项目建设，构筑神木“十四五”产业升级、经济转型的“四梁八柱”。</w:t>
      </w:r>
    </w:p>
    <w:tbl>
      <w:tblPr>
        <w:tblStyle w:val="25"/>
        <w:tblW w:w="8332"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5" w:hRule="atLeast"/>
        </w:trPr>
        <w:tc>
          <w:tcPr>
            <w:tcW w:w="8332" w:type="dxa"/>
          </w:tcPr>
          <w:p>
            <w:pPr>
              <w:spacing w:line="440" w:lineRule="exact"/>
              <w:ind w:firstLine="0" w:firstLineChars="0"/>
              <w:jc w:val="left"/>
              <w:rPr>
                <w:rFonts w:hint="eastAsia" w:ascii="黑体" w:hAnsi="黑体" w:eastAsia="黑体" w:cs="黑体"/>
                <w:sz w:val="24"/>
                <w:szCs w:val="24"/>
              </w:rPr>
            </w:pPr>
            <w:r>
              <w:rPr>
                <w:rFonts w:hint="eastAsia" w:ascii="黑体" w:hAnsi="黑体" w:eastAsia="黑体" w:cs="黑体"/>
                <w:sz w:val="24"/>
                <w:szCs w:val="24"/>
              </w:rPr>
              <w:t>专栏</w:t>
            </w:r>
            <w:r>
              <w:rPr>
                <w:rFonts w:hint="eastAsia" w:ascii="黑体" w:hAnsi="黑体" w:eastAsia="黑体" w:cs="黑体"/>
                <w:sz w:val="24"/>
                <w:szCs w:val="24"/>
                <w:lang w:val="en-US" w:eastAsia="zh-CN"/>
              </w:rPr>
              <w:t>6：</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黑体" w:hAnsi="黑体" w:eastAsia="黑体" w:cs="黑体"/>
                <w:lang w:eastAsia="zh-CN"/>
              </w:rPr>
            </w:pPr>
            <w:r>
              <w:rPr>
                <w:rFonts w:hint="eastAsia" w:ascii="黑体" w:hAnsi="黑体" w:eastAsia="黑体" w:cs="黑体"/>
                <w:lang w:eastAsia="zh-CN"/>
              </w:rPr>
              <w:t>十大领域重点建设项目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谋划安排十大领域重点建设项目164个（含榆神园区），总投资1.1万亿元，其中市内“十四五”计划投资3887.56亿元。</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default"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创新驱动工程（10个）：</w:t>
            </w:r>
            <w:r>
              <w:rPr>
                <w:rFonts w:hint="eastAsia" w:ascii="仿宋_GB2312" w:hAnsi="仿宋_GB2312" w:cs="仿宋_GB2312"/>
                <w:sz w:val="24"/>
                <w:szCs w:val="24"/>
                <w:lang w:val="en-US" w:eastAsia="zh-CN"/>
              </w:rPr>
              <w:t>计划投资21.28亿元，主要包括神木政产学研用融合创新发展平台、国家应急与安全治理创新工程等项目。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新兴产业高质量发展工程（15个）：</w:t>
            </w:r>
            <w:r>
              <w:rPr>
                <w:rFonts w:hint="eastAsia" w:ascii="仿宋_GB2312" w:hAnsi="仿宋_GB2312" w:cs="仿宋_GB2312"/>
                <w:sz w:val="24"/>
                <w:szCs w:val="24"/>
                <w:lang w:val="en-US" w:eastAsia="zh-CN"/>
              </w:rPr>
              <w:t>计划完成投资105.96亿元，主要包括新石器无人车-神木智造中心、农产品国际加工园平台等项目。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现代服务业发展工程（13个）：</w:t>
            </w:r>
            <w:r>
              <w:rPr>
                <w:rFonts w:hint="eastAsia" w:ascii="仿宋_GB2312" w:hAnsi="仿宋_GB2312" w:cs="仿宋_GB2312"/>
                <w:sz w:val="24"/>
                <w:szCs w:val="24"/>
                <w:lang w:val="en-US" w:eastAsia="zh-CN"/>
              </w:rPr>
              <w:t>计划完成投资83.2亿元，主要包括神木“兰炭联”产业互联网平台、石峁世界文化遗址公园、杨家城遗址公园保护等项目。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default"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能源高端化工程（39个）：</w:t>
            </w:r>
            <w:r>
              <w:rPr>
                <w:rFonts w:hint="eastAsia" w:ascii="仿宋_GB2312" w:hAnsi="仿宋_GB2312" w:cs="仿宋_GB2312"/>
                <w:sz w:val="24"/>
                <w:szCs w:val="24"/>
                <w:lang w:val="en-US" w:eastAsia="zh-CN"/>
              </w:rPr>
              <w:t>计划完成投资1749.06亿元，主要包括国华榆林煤电风光储一体化建设示范、神木神信新材料循环经济产业示范园、陕西金泰氯碱高性能树脂等项目。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default"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传统产业改造升级工程（6个）：</w:t>
            </w:r>
            <w:r>
              <w:rPr>
                <w:rFonts w:hint="eastAsia" w:ascii="仿宋_GB2312" w:hAnsi="仿宋_GB2312" w:cs="仿宋_GB2312"/>
                <w:sz w:val="24"/>
                <w:szCs w:val="24"/>
                <w:lang w:val="en-US" w:eastAsia="zh-CN"/>
              </w:rPr>
              <w:t>计划完成投资152.8亿元，主要包括兰炭产业技改升级项目、煤矿技改项目、金属镁及深加工产业园等项目。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基础设施发展工程（19个）：</w:t>
            </w:r>
            <w:r>
              <w:rPr>
                <w:rFonts w:hint="eastAsia" w:ascii="仿宋_GB2312" w:hAnsi="仿宋_GB2312" w:cs="仿宋_GB2312"/>
                <w:sz w:val="24"/>
                <w:szCs w:val="24"/>
                <w:lang w:val="en-US" w:eastAsia="zh-CN"/>
              </w:rPr>
              <w:t>计划完成投资570.5亿元，主要包括新基建及人工智能工程、黄河东线引水神木支线工程、电力输送工程、国省干线公路等项目。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default" w:ascii="仿宋_GB2312" w:hAnsi="仿宋_GB2312" w:cs="仿宋_GB2312"/>
                <w:sz w:val="24"/>
                <w:szCs w:val="24"/>
                <w:lang w:val="en-US" w:eastAsia="zh-CN"/>
              </w:rPr>
            </w:pPr>
            <w:r>
              <w:rPr>
                <w:rFonts w:hint="eastAsia" w:ascii="楷体_GB2312" w:hAnsi="楷体_GB2312" w:eastAsia="楷体_GB2312" w:cs="楷体_GB2312"/>
                <w:b/>
                <w:bCs/>
                <w:sz w:val="24"/>
                <w:szCs w:val="24"/>
                <w:lang w:val="en-US" w:eastAsia="zh-CN"/>
              </w:rPr>
              <w:t>公共服务发展工程（12个）：</w:t>
            </w:r>
            <w:r>
              <w:rPr>
                <w:rFonts w:hint="eastAsia" w:ascii="仿宋_GB2312" w:hAnsi="仿宋_GB2312" w:cs="仿宋_GB2312"/>
                <w:sz w:val="24"/>
                <w:szCs w:val="24"/>
                <w:lang w:val="en-US" w:eastAsia="zh-CN"/>
              </w:rPr>
              <w:t>计划完成投资118.73亿元，包括教育现代化综合提升工程、神木市中医院等项目。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新型城镇化发展工程（13个）：</w:t>
            </w:r>
            <w:r>
              <w:rPr>
                <w:rFonts w:hint="eastAsia" w:ascii="仿宋_GB2312" w:hAnsi="仿宋_GB2312" w:cs="仿宋_GB2312"/>
                <w:sz w:val="24"/>
                <w:szCs w:val="24"/>
                <w:lang w:val="en-US" w:eastAsia="zh-CN"/>
              </w:rPr>
              <w:t>计划完成投资178.61亿元，主要包括神木城市更新工程、重点镇和特色小镇等项目。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乡村振兴发展工程（14个）：</w:t>
            </w:r>
            <w:r>
              <w:rPr>
                <w:rFonts w:hint="eastAsia" w:ascii="仿宋_GB2312" w:hAnsi="仿宋_GB2312" w:cs="仿宋_GB2312"/>
                <w:sz w:val="24"/>
                <w:szCs w:val="24"/>
                <w:lang w:val="en-US" w:eastAsia="zh-CN"/>
              </w:rPr>
              <w:t>计划完成投资92.87亿元，重点包括神木国家农业一二三产业融合发展示范、农村人居环境整治等项目。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eastAsia="仿宋_GB2312" w:cs="Times New Roman"/>
                <w:b/>
                <w:bCs/>
                <w:sz w:val="32"/>
                <w:szCs w:val="32"/>
                <w:lang w:eastAsia="zh-CN"/>
              </w:rPr>
            </w:pPr>
            <w:r>
              <w:rPr>
                <w:rFonts w:hint="eastAsia" w:ascii="楷体_GB2312" w:hAnsi="楷体_GB2312" w:eastAsia="楷体_GB2312" w:cs="楷体_GB2312"/>
                <w:b/>
                <w:bCs/>
                <w:sz w:val="24"/>
                <w:szCs w:val="24"/>
                <w:lang w:val="en-US" w:eastAsia="zh-CN"/>
              </w:rPr>
              <w:t>生态环境发展工程（23个）：</w:t>
            </w:r>
            <w:r>
              <w:rPr>
                <w:rFonts w:hint="eastAsia" w:ascii="仿宋_GB2312" w:hAnsi="仿宋_GB2312" w:cs="仿宋_GB2312"/>
                <w:sz w:val="24"/>
                <w:szCs w:val="24"/>
                <w:lang w:val="en-US" w:eastAsia="zh-CN"/>
              </w:rPr>
              <w:t>计划完成投资814.55亿元，重点包括窟野河综合治理、黄河流域重点生态区山水林田湖草沙生态保护修复、水资源保护和开发利用、塞上绿色行动等工程。</w:t>
            </w:r>
          </w:p>
        </w:tc>
      </w:tr>
    </w:tbl>
    <w:p>
      <w:pPr>
        <w:spacing w:line="576" w:lineRule="exact"/>
        <w:ind w:firstLine="640"/>
        <w:jc w:val="both"/>
        <w:rPr>
          <w:rFonts w:cs="Times New Roman"/>
          <w:sz w:val="32"/>
          <w:szCs w:val="32"/>
        </w:rPr>
      </w:pPr>
      <w:r>
        <w:rPr>
          <w:rFonts w:cs="Times New Roman"/>
          <w:b/>
          <w:bCs/>
          <w:sz w:val="32"/>
          <w:szCs w:val="32"/>
        </w:rPr>
        <w:t>释放投资潜力。</w:t>
      </w:r>
      <w:r>
        <w:rPr>
          <w:rFonts w:cs="Times New Roman"/>
          <w:sz w:val="32"/>
          <w:szCs w:val="32"/>
          <w:lang w:bidi="ar"/>
        </w:rPr>
        <w:t>发挥重大项目支撑作用，完善要素市场配置机制，实现“要素跟着项目走”。扩大工业技改投资，实施智慧矿山、兰炭产业升级转型、淘汰落后火电机组等专项行动。抢抓黄河流域生态保护和高质量发展、基础设施补短板等重大投资机遇，发挥政府投资杠杆作用，鼓励民间资本</w:t>
      </w:r>
      <w:r>
        <w:rPr>
          <w:rFonts w:cs="Times New Roman"/>
          <w:color w:val="000000"/>
          <w:sz w:val="32"/>
          <w:szCs w:val="32"/>
          <w:lang w:bidi="ar"/>
        </w:rPr>
        <w:t>进入能源化工、乡村振兴、社会事业等公共领域，确保社会投资保持较快增长。</w:t>
      </w:r>
      <w:r>
        <w:rPr>
          <w:rFonts w:cs="Times New Roman"/>
          <w:sz w:val="32"/>
          <w:szCs w:val="32"/>
        </w:rPr>
        <w:t>“十四五”期间，全社会固定资产投资总规模超过3000亿元，年均增长6%，其中工业投资占投资总额50%以上。</w:t>
      </w:r>
    </w:p>
    <w:p>
      <w:pPr>
        <w:pStyle w:val="2"/>
        <w:spacing w:line="576" w:lineRule="exact"/>
        <w:ind w:firstLine="640"/>
        <w:jc w:val="both"/>
        <w:rPr>
          <w:rFonts w:ascii="Times New Roman" w:hAnsi="Times New Roman" w:cs="Times New Roman"/>
          <w:sz w:val="32"/>
          <w:szCs w:val="32"/>
          <w:highlight w:val="yellow"/>
        </w:rPr>
      </w:pPr>
      <w:r>
        <w:rPr>
          <w:rFonts w:ascii="Times New Roman" w:hAnsi="Times New Roman" w:cs="Times New Roman"/>
          <w:b/>
          <w:bCs/>
          <w:sz w:val="32"/>
          <w:szCs w:val="32"/>
        </w:rPr>
        <w:t>实施招商引资头号工程。</w:t>
      </w:r>
      <w:r>
        <w:rPr>
          <w:rFonts w:ascii="Times New Roman" w:hAnsi="Times New Roman" w:cs="Times New Roman"/>
          <w:sz w:val="32"/>
          <w:szCs w:val="32"/>
        </w:rPr>
        <w:t>树立“投行思维”，建立产业地图，全面梳理产业链条，找准产业发展风口，定向招商，精准招商。修订出台更具吸引力的招商引资优惠政策，用足用好投资引导基金，打造“投资洼地”，吸引客商来神投资兴业。坚持招大引强，紧盯世界500强、中国500强、民营100强和行业20强企业，面向京津冀、长三角、粤港澳大湾区等地积极开展招商推介，抢抓产业分工调整机遇，创新运用基金招商、产业链招商、以商招商、委托招商、驻点招商等方式，落地一批具有较强引领带动作用的标志性企业和重大项目。“十四五”期间，招商引资到位资金年均增长10%，引资总额达1500亿元。</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21" w:name="_Toc987"/>
      <w:r>
        <w:rPr>
          <w:rFonts w:hint="eastAsia" w:ascii="楷体_GB2312" w:hAnsi="楷体_GB2312" w:eastAsia="楷体_GB2312" w:cs="楷体_GB2312"/>
          <w:bCs/>
          <w:sz w:val="32"/>
          <w:szCs w:val="32"/>
        </w:rPr>
        <w:t xml:space="preserve">第二节 </w:t>
      </w:r>
      <w:r>
        <w:rPr>
          <w:rFonts w:hint="eastAsia" w:ascii="楷体_GB2312" w:hAnsi="楷体_GB2312" w:eastAsia="楷体_GB2312" w:cs="楷体_GB2312"/>
          <w:bCs/>
          <w:sz w:val="32"/>
          <w:szCs w:val="32"/>
          <w:lang w:eastAsia="zh-CN"/>
        </w:rPr>
        <w:t>加快新旧动能转换</w:t>
      </w:r>
      <w:bookmarkEnd w:id="21"/>
    </w:p>
    <w:p>
      <w:pPr>
        <w:pStyle w:val="2"/>
        <w:spacing w:line="576" w:lineRule="exact"/>
        <w:ind w:firstLine="640"/>
        <w:jc w:val="both"/>
        <w:rPr>
          <w:rFonts w:hint="default" w:ascii="Times New Roman" w:hAnsi="Times New Roman" w:cs="Times New Roman"/>
          <w:sz w:val="32"/>
          <w:szCs w:val="32"/>
          <w:lang w:val="en-US" w:eastAsia="zh-CN"/>
        </w:rPr>
      </w:pPr>
      <w:r>
        <w:rPr>
          <w:rFonts w:hint="eastAsia" w:ascii="Times New Roman" w:hAnsi="Times New Roman" w:cs="Times New Roman"/>
          <w:sz w:val="32"/>
          <w:szCs w:val="32"/>
          <w:lang w:eastAsia="zh-CN"/>
        </w:rPr>
        <w:t>以落实碳达峰和碳中和目标为导向，以“十四五”能耗和碳排放总量指标为约束边界，坚决树立“腾笼换鸟”理念，以“淘汰扶优”为主要路径，以“壮士断腕”的决心全面清理落后产能，为新兴重大战略项目腾挪空间，把产业要素向高端</w:t>
      </w:r>
      <w:r>
        <w:rPr>
          <w:rFonts w:hint="eastAsia" w:ascii="Times New Roman" w:hAnsi="Times New Roman" w:cs="Times New Roman"/>
          <w:sz w:val="32"/>
          <w:szCs w:val="32"/>
          <w:lang w:val="en-US" w:eastAsia="zh-CN"/>
        </w:rPr>
        <w:t>化</w:t>
      </w:r>
      <w:r>
        <w:rPr>
          <w:rFonts w:hint="eastAsia" w:ascii="Times New Roman" w:hAnsi="Times New Roman" w:cs="Times New Roman"/>
          <w:sz w:val="32"/>
          <w:szCs w:val="32"/>
          <w:lang w:eastAsia="zh-CN"/>
        </w:rPr>
        <w:t>方向、高质量</w:t>
      </w:r>
      <w:r>
        <w:rPr>
          <w:rFonts w:hint="eastAsia" w:ascii="Times New Roman" w:hAnsi="Times New Roman" w:cs="Times New Roman"/>
          <w:sz w:val="32"/>
          <w:szCs w:val="32"/>
          <w:lang w:val="en-US" w:eastAsia="zh-CN"/>
        </w:rPr>
        <w:t>项目</w:t>
      </w:r>
      <w:r>
        <w:rPr>
          <w:rFonts w:hint="eastAsia" w:ascii="Times New Roman" w:hAnsi="Times New Roman" w:cs="Times New Roman"/>
          <w:sz w:val="32"/>
          <w:szCs w:val="32"/>
          <w:lang w:eastAsia="zh-CN"/>
        </w:rPr>
        <w:t>集中</w:t>
      </w:r>
      <w:r>
        <w:rPr>
          <w:rFonts w:hint="eastAsia" w:ascii="Times New Roman" w:hAnsi="Times New Roman" w:cs="Times New Roman"/>
          <w:sz w:val="32"/>
          <w:szCs w:val="32"/>
          <w:lang w:val="en-US" w:eastAsia="zh-CN"/>
        </w:rPr>
        <w:t>倾斜</w:t>
      </w:r>
      <w:r>
        <w:rPr>
          <w:rFonts w:hint="eastAsia" w:ascii="Times New Roman" w:hAnsi="Times New Roman" w:cs="Times New Roman"/>
          <w:sz w:val="32"/>
          <w:szCs w:val="32"/>
          <w:lang w:eastAsia="zh-CN"/>
        </w:rPr>
        <w:t>，在耗费同等能源资源的条件下创造更多价值。实施新旧动能转化三年行动计划，加快兰炭、镁冶炼、电石等传统产业升级，</w:t>
      </w:r>
      <w:r>
        <w:rPr>
          <w:rFonts w:hint="eastAsia" w:ascii="Times New Roman" w:hAnsi="Times New Roman" w:cs="Times New Roman"/>
          <w:sz w:val="32"/>
          <w:szCs w:val="32"/>
          <w:lang w:val="en-US" w:eastAsia="zh-CN"/>
        </w:rPr>
        <w:t>2022年前淘汰环保不达标企业。严格落实产业园区总体规划和产业发展规划，加快培育智能制造、精细化工、多能互补等新兴产业，实现新旧动能有效切换。</w:t>
      </w:r>
    </w:p>
    <w:tbl>
      <w:tblPr>
        <w:tblStyle w:val="25"/>
        <w:tblW w:w="8332"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8332" w:type="dxa"/>
          </w:tcPr>
          <w:p>
            <w:pPr>
              <w:spacing w:line="440" w:lineRule="exact"/>
              <w:ind w:firstLine="0" w:firstLineChars="0"/>
              <w:jc w:val="left"/>
              <w:rPr>
                <w:rFonts w:hint="eastAsia" w:ascii="黑体" w:hAnsi="黑体" w:eastAsia="黑体" w:cs="黑体"/>
                <w:sz w:val="24"/>
                <w:szCs w:val="24"/>
              </w:rPr>
            </w:pPr>
            <w:r>
              <w:rPr>
                <w:rFonts w:hint="eastAsia" w:ascii="黑体" w:hAnsi="黑体" w:eastAsia="黑体" w:cs="黑体"/>
                <w:sz w:val="24"/>
                <w:szCs w:val="24"/>
              </w:rPr>
              <w:t>专栏</w:t>
            </w:r>
            <w:r>
              <w:rPr>
                <w:rFonts w:hint="eastAsia" w:ascii="黑体" w:hAnsi="黑体" w:eastAsia="黑体" w:cs="黑体"/>
                <w:sz w:val="24"/>
                <w:szCs w:val="24"/>
                <w:lang w:val="en-US" w:eastAsia="zh-CN"/>
              </w:rPr>
              <w:t>7：</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黑体" w:hAnsi="黑体" w:eastAsia="黑体" w:cs="黑体"/>
                <w:lang w:eastAsia="zh-CN"/>
              </w:rPr>
            </w:pPr>
            <w:r>
              <w:rPr>
                <w:rFonts w:hint="eastAsia" w:ascii="黑体" w:hAnsi="黑体" w:eastAsia="黑体" w:cs="黑体"/>
              </w:rPr>
              <w:t>“十四五”</w:t>
            </w:r>
            <w:r>
              <w:rPr>
                <w:rFonts w:hint="eastAsia" w:ascii="黑体" w:hAnsi="黑体" w:eastAsia="黑体" w:cs="黑体"/>
                <w:lang w:eastAsia="zh-CN"/>
              </w:rPr>
              <w:t>产业园区发展</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lang w:eastAsia="zh-CN"/>
              </w:rPr>
              <w:t>高新区</w:t>
            </w:r>
            <w:r>
              <w:rPr>
                <w:rFonts w:hint="eastAsia" w:ascii="楷体_GB2312" w:hAnsi="楷体_GB2312" w:eastAsia="楷体_GB2312" w:cs="楷体_GB2312"/>
                <w:b/>
                <w:bCs/>
                <w:sz w:val="24"/>
                <w:szCs w:val="24"/>
              </w:rPr>
              <w:t>：</w:t>
            </w:r>
            <w:r>
              <w:rPr>
                <w:rFonts w:hint="eastAsia" w:ascii="仿宋_GB2312" w:hAnsi="仿宋_GB2312" w:cs="仿宋_GB2312"/>
                <w:sz w:val="24"/>
                <w:szCs w:val="24"/>
                <w:lang w:val="en-US" w:eastAsia="zh-CN"/>
              </w:rPr>
              <w:t>加速创新要素集聚，推进补链延链增链发展，提升产业协作配套水平，壮大精细化工、循环经济产业发展规模，争创国家级高新区。</w:t>
            </w:r>
            <w:r>
              <w:rPr>
                <w:rFonts w:hint="eastAsia" w:ascii="仿宋_GB2312" w:hAnsi="仿宋_GB2312" w:cs="仿宋_GB2312"/>
                <w:sz w:val="24"/>
                <w:szCs w:val="24"/>
                <w:lang w:eastAsia="zh-CN"/>
              </w:rPr>
              <w:t>规划面积</w:t>
            </w:r>
            <w:r>
              <w:rPr>
                <w:rFonts w:hint="eastAsia" w:ascii="仿宋_GB2312" w:hAnsi="仿宋_GB2312" w:cs="仿宋_GB2312"/>
                <w:sz w:val="24"/>
                <w:szCs w:val="24"/>
                <w:lang w:val="en-US" w:eastAsia="zh-CN"/>
              </w:rPr>
              <w:t>90平方公里。到2025年，产值达到1000亿元。</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lang w:eastAsia="zh-CN"/>
              </w:rPr>
              <w:t>经开区</w:t>
            </w:r>
            <w:r>
              <w:rPr>
                <w:rFonts w:hint="eastAsia" w:ascii="楷体_GB2312" w:hAnsi="楷体_GB2312" w:eastAsia="楷体_GB2312" w:cs="楷体_GB2312"/>
                <w:b/>
                <w:bCs/>
                <w:sz w:val="24"/>
                <w:szCs w:val="24"/>
              </w:rPr>
              <w:t>：</w:t>
            </w:r>
            <w:r>
              <w:rPr>
                <w:rFonts w:hint="eastAsia" w:ascii="仿宋_GB2312" w:hAnsi="仿宋_GB2312" w:eastAsia="仿宋_GB2312" w:cs="仿宋_GB2312"/>
                <w:sz w:val="24"/>
                <w:szCs w:val="24"/>
                <w:lang w:eastAsia="zh-CN"/>
              </w:rPr>
              <w:t>集聚智能制造、</w:t>
            </w:r>
            <w:r>
              <w:rPr>
                <w:rFonts w:hint="eastAsia" w:ascii="仿宋_GB2312" w:hAnsi="仿宋_GB2312" w:cs="仿宋_GB2312"/>
                <w:sz w:val="24"/>
                <w:szCs w:val="24"/>
                <w:lang w:eastAsia="zh-CN"/>
              </w:rPr>
              <w:t>大健康、</w:t>
            </w:r>
            <w:r>
              <w:rPr>
                <w:rFonts w:hint="eastAsia" w:ascii="仿宋_GB2312" w:hAnsi="仿宋_GB2312" w:eastAsia="仿宋_GB2312" w:cs="仿宋_GB2312"/>
                <w:sz w:val="24"/>
                <w:szCs w:val="24"/>
                <w:lang w:eastAsia="zh-CN"/>
              </w:rPr>
              <w:t>绿色建材、数字经济</w:t>
            </w:r>
            <w:r>
              <w:rPr>
                <w:rFonts w:hint="eastAsia" w:ascii="仿宋_GB2312" w:hAnsi="仿宋_GB2312" w:cs="仿宋_GB2312"/>
                <w:sz w:val="24"/>
                <w:szCs w:val="24"/>
                <w:lang w:eastAsia="zh-CN"/>
              </w:rPr>
              <w:t>、现代服务业</w:t>
            </w:r>
            <w:r>
              <w:rPr>
                <w:rFonts w:hint="eastAsia" w:ascii="仿宋_GB2312" w:hAnsi="仿宋_GB2312" w:eastAsia="仿宋_GB2312" w:cs="仿宋_GB2312"/>
                <w:sz w:val="24"/>
                <w:szCs w:val="24"/>
                <w:lang w:eastAsia="zh-CN"/>
              </w:rPr>
              <w:t>等新兴产业</w:t>
            </w:r>
            <w:r>
              <w:rPr>
                <w:rFonts w:hint="eastAsia" w:ascii="仿宋_GB2312" w:hAnsi="仿宋_GB2312" w:cs="仿宋_GB2312"/>
                <w:sz w:val="24"/>
                <w:szCs w:val="24"/>
                <w:lang w:eastAsia="zh-CN"/>
              </w:rPr>
              <w:t>，争创省级经开区。规划面积</w:t>
            </w:r>
            <w:r>
              <w:rPr>
                <w:rFonts w:hint="eastAsia" w:ascii="仿宋_GB2312" w:hAnsi="仿宋_GB2312" w:cs="仿宋_GB2312"/>
                <w:sz w:val="24"/>
                <w:szCs w:val="24"/>
                <w:lang w:val="en-US" w:eastAsia="zh-CN"/>
              </w:rPr>
              <w:t>11.88平方公里。到2025年，产值达到100亿元。</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default" w:ascii="仿宋_GB2312" w:hAnsi="仿宋_GB2312" w:eastAsia="楷体_GB2312" w:cs="仿宋_GB2312"/>
                <w:sz w:val="24"/>
                <w:szCs w:val="24"/>
                <w:lang w:val="en-US" w:eastAsia="zh-CN"/>
              </w:rPr>
            </w:pPr>
            <w:r>
              <w:rPr>
                <w:rFonts w:hint="eastAsia" w:ascii="楷体_GB2312" w:hAnsi="楷体_GB2312" w:eastAsia="楷体_GB2312" w:cs="楷体_GB2312"/>
                <w:b/>
                <w:bCs/>
                <w:sz w:val="24"/>
                <w:szCs w:val="24"/>
                <w:lang w:eastAsia="zh-CN"/>
              </w:rPr>
              <w:t>兰炭产业园区</w:t>
            </w:r>
            <w:r>
              <w:rPr>
                <w:rFonts w:hint="eastAsia" w:ascii="楷体_GB2312" w:hAnsi="楷体_GB2312" w:eastAsia="楷体_GB2312" w:cs="楷体_GB2312"/>
                <w:b/>
                <w:bCs/>
                <w:sz w:val="24"/>
                <w:szCs w:val="24"/>
              </w:rPr>
              <w:t>：</w:t>
            </w:r>
            <w:r>
              <w:rPr>
                <w:rFonts w:hint="eastAsia" w:ascii="仿宋_GB2312" w:hAnsi="仿宋_GB2312" w:eastAsia="仿宋_GB2312" w:cs="仿宋_GB2312"/>
                <w:sz w:val="24"/>
                <w:szCs w:val="24"/>
                <w:lang w:eastAsia="zh-CN"/>
              </w:rPr>
              <w:t>以煤热解、焦油煤气利用为主导，大力发展</w:t>
            </w:r>
            <w:r>
              <w:rPr>
                <w:rFonts w:hint="eastAsia" w:ascii="仿宋_GB2312" w:hAnsi="仿宋_GB2312" w:cs="仿宋_GB2312"/>
                <w:sz w:val="24"/>
                <w:szCs w:val="24"/>
                <w:lang w:eastAsia="zh-CN"/>
              </w:rPr>
              <w:t>精细化工、新材料产业</w:t>
            </w:r>
            <w:r>
              <w:rPr>
                <w:rFonts w:hint="eastAsia" w:ascii="仿宋_GB2312" w:hAnsi="仿宋_GB2312" w:eastAsia="仿宋_GB2312" w:cs="仿宋_GB2312"/>
                <w:sz w:val="24"/>
                <w:szCs w:val="24"/>
                <w:lang w:eastAsia="zh-CN"/>
              </w:rPr>
              <w:t>，</w:t>
            </w:r>
            <w:r>
              <w:rPr>
                <w:rFonts w:hint="eastAsia" w:ascii="仿宋_GB2312" w:hAnsi="仿宋_GB2312" w:cs="仿宋_GB2312"/>
                <w:sz w:val="24"/>
                <w:szCs w:val="24"/>
                <w:lang w:eastAsia="zh-CN"/>
              </w:rPr>
              <w:t>打造集智能一体化、炼化一体化、循环一体化为特色的煤清洁高效利用智慧园区。规划面积</w:t>
            </w:r>
            <w:r>
              <w:rPr>
                <w:rFonts w:hint="eastAsia" w:ascii="仿宋_GB2312" w:hAnsi="仿宋_GB2312" w:cs="仿宋_GB2312"/>
                <w:sz w:val="24"/>
                <w:szCs w:val="24"/>
                <w:lang w:val="en-US" w:eastAsia="zh-CN"/>
              </w:rPr>
              <w:t>45平方公里。到2025年，产值达到500亿元。</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eastAsia="仿宋_GB2312" w:cs="Times New Roman"/>
                <w:b/>
                <w:bCs/>
                <w:sz w:val="32"/>
                <w:szCs w:val="32"/>
                <w:lang w:eastAsia="zh-CN"/>
              </w:rPr>
            </w:pPr>
            <w:r>
              <w:rPr>
                <w:rFonts w:hint="eastAsia" w:ascii="楷体_GB2312" w:hAnsi="楷体_GB2312" w:eastAsia="楷体_GB2312" w:cs="楷体_GB2312"/>
                <w:b/>
                <w:bCs/>
                <w:sz w:val="24"/>
                <w:szCs w:val="24"/>
                <w:lang w:eastAsia="zh-CN"/>
              </w:rPr>
              <w:t>农业高新区</w:t>
            </w:r>
            <w:r>
              <w:rPr>
                <w:rFonts w:hint="eastAsia" w:ascii="楷体_GB2312" w:hAnsi="楷体_GB2312" w:eastAsia="楷体_GB2312" w:cs="楷体_GB2312"/>
                <w:b/>
                <w:bCs/>
                <w:sz w:val="24"/>
                <w:szCs w:val="24"/>
              </w:rPr>
              <w:t>：</w:t>
            </w:r>
            <w:r>
              <w:rPr>
                <w:rFonts w:hint="eastAsia" w:ascii="仿宋_GB2312" w:hAnsi="仿宋_GB2312" w:cs="仿宋_GB2312"/>
                <w:sz w:val="24"/>
                <w:szCs w:val="24"/>
                <w:lang w:val="en-US" w:eastAsia="zh-CN"/>
              </w:rPr>
              <w:t>整合市域优势农业资源，强化农业科创协作，围绕草畜动物、大漠蔬果花卉、中药材、特色农产品进行全产业链开发，创建国家级农业高新技术产业区</w:t>
            </w:r>
            <w:r>
              <w:rPr>
                <w:rFonts w:hint="eastAsia" w:ascii="仿宋_GB2312" w:hAnsi="仿宋_GB2312" w:cs="仿宋_GB2312"/>
                <w:sz w:val="24"/>
                <w:szCs w:val="24"/>
                <w:lang w:eastAsia="zh-CN"/>
              </w:rPr>
              <w:t>。规划</w:t>
            </w:r>
            <w:r>
              <w:rPr>
                <w:rFonts w:hint="eastAsia" w:ascii="仿宋_GB2312" w:hAnsi="仿宋_GB2312" w:cs="仿宋_GB2312"/>
                <w:sz w:val="24"/>
                <w:szCs w:val="24"/>
                <w:lang w:val="en-US" w:eastAsia="zh-CN"/>
              </w:rPr>
              <w:t>核心区33.3平方公里、示范区185.79平方公里、拓展区1511.06平方公里。到2025年，产值达到60亿元。</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2" w:name="_Toc10539"/>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三</w:t>
      </w:r>
      <w:r>
        <w:rPr>
          <w:rFonts w:hint="eastAsia" w:ascii="楷体_GB2312" w:hAnsi="楷体_GB2312" w:eastAsia="楷体_GB2312" w:cs="楷体_GB2312"/>
          <w:bCs/>
          <w:sz w:val="32"/>
          <w:szCs w:val="32"/>
        </w:rPr>
        <w:t>节 持续服务国家能源安全战略</w:t>
      </w:r>
      <w:bookmarkEnd w:id="22"/>
    </w:p>
    <w:p>
      <w:pPr>
        <w:spacing w:line="576" w:lineRule="exact"/>
        <w:ind w:firstLine="643"/>
        <w:jc w:val="both"/>
        <w:rPr>
          <w:rFonts w:cs="Times New Roman"/>
          <w:sz w:val="32"/>
          <w:szCs w:val="32"/>
        </w:rPr>
      </w:pPr>
      <w:r>
        <w:rPr>
          <w:rFonts w:eastAsia="仿宋" w:cs="Times New Roman"/>
          <w:b/>
          <w:bCs/>
          <w:kern w:val="2"/>
          <w:sz w:val="32"/>
          <w:szCs w:val="32"/>
        </w:rPr>
        <w:t>稳定基础能源供应。</w:t>
      </w:r>
      <w:r>
        <w:rPr>
          <w:rFonts w:cs="Times New Roman"/>
          <w:color w:val="000000"/>
          <w:sz w:val="31"/>
          <w:szCs w:val="31"/>
          <w:lang w:bidi="ar"/>
        </w:rPr>
        <w:t>落实国家能源安全战略，稳定煤、气、油供应。</w:t>
      </w:r>
      <w:r>
        <w:rPr>
          <w:rFonts w:cs="Times New Roman"/>
          <w:sz w:val="32"/>
          <w:szCs w:val="32"/>
        </w:rPr>
        <w:t>释放煤炭优质产能，新增产能2000万吨。</w:t>
      </w:r>
      <w:r>
        <w:rPr>
          <w:rFonts w:cs="Times New Roman"/>
          <w:kern w:val="2"/>
          <w:sz w:val="32"/>
          <w:szCs w:val="32"/>
        </w:rPr>
        <w:t>提升电力系统调节能力，发展储能产业，建设国华锦能煤电风光储多能互补综合电源基地。推行燃气行业混合所有制改革，</w:t>
      </w:r>
      <w:r>
        <w:rPr>
          <w:rFonts w:cs="Times New Roman"/>
          <w:sz w:val="32"/>
          <w:szCs w:val="32"/>
        </w:rPr>
        <w:t>加大煤层气、天然气开发力度，</w:t>
      </w:r>
      <w:r>
        <w:rPr>
          <w:rFonts w:cs="Times New Roman"/>
          <w:kern w:val="2"/>
          <w:sz w:val="32"/>
          <w:szCs w:val="32"/>
        </w:rPr>
        <w:t>新增气井500口左右，天然气产量达到</w:t>
      </w:r>
      <w:r>
        <w:rPr>
          <w:rFonts w:hint="eastAsia" w:cs="Times New Roman"/>
          <w:kern w:val="2"/>
          <w:sz w:val="32"/>
          <w:szCs w:val="32"/>
          <w:lang w:val="en-US" w:eastAsia="zh-CN"/>
        </w:rPr>
        <w:t>5</w:t>
      </w:r>
      <w:r>
        <w:rPr>
          <w:rFonts w:cs="Times New Roman"/>
          <w:kern w:val="2"/>
          <w:sz w:val="32"/>
          <w:szCs w:val="32"/>
        </w:rPr>
        <w:t>0亿方/年。坚持用煤先取油，开展煤制清洁燃料技术试验示范工程，煤制油产量达到</w:t>
      </w:r>
      <w:r>
        <w:rPr>
          <w:rFonts w:hint="eastAsia" w:cs="Times New Roman"/>
          <w:kern w:val="2"/>
          <w:sz w:val="32"/>
          <w:szCs w:val="32"/>
          <w:lang w:val="en-US" w:eastAsia="zh-CN"/>
        </w:rPr>
        <w:t>5</w:t>
      </w:r>
      <w:r>
        <w:rPr>
          <w:rFonts w:cs="Times New Roman"/>
          <w:kern w:val="2"/>
          <w:sz w:val="32"/>
          <w:szCs w:val="32"/>
        </w:rPr>
        <w:t>00万吨。</w:t>
      </w:r>
    </w:p>
    <w:p>
      <w:pPr>
        <w:spacing w:line="576" w:lineRule="exact"/>
        <w:ind w:firstLine="643"/>
        <w:jc w:val="both"/>
        <w:rPr>
          <w:rFonts w:eastAsia="仿宋" w:cs="Times New Roman"/>
          <w:b/>
          <w:bCs/>
          <w:kern w:val="2"/>
          <w:sz w:val="32"/>
          <w:szCs w:val="32"/>
          <w:highlight w:val="yellow"/>
        </w:rPr>
      </w:pPr>
      <w:r>
        <w:rPr>
          <w:rFonts w:eastAsia="仿宋" w:cs="Times New Roman"/>
          <w:b/>
          <w:bCs/>
          <w:kern w:val="2"/>
          <w:sz w:val="32"/>
          <w:szCs w:val="32"/>
        </w:rPr>
        <w:t>畅通</w:t>
      </w:r>
      <w:r>
        <w:rPr>
          <w:rFonts w:hint="eastAsia" w:eastAsia="仿宋" w:cs="Times New Roman"/>
          <w:b/>
          <w:bCs/>
          <w:kern w:val="2"/>
          <w:sz w:val="32"/>
          <w:szCs w:val="32"/>
          <w:lang w:eastAsia="zh-CN"/>
        </w:rPr>
        <w:t>能化产品</w:t>
      </w:r>
      <w:r>
        <w:rPr>
          <w:rFonts w:eastAsia="仿宋" w:cs="Times New Roman"/>
          <w:b/>
          <w:bCs/>
          <w:kern w:val="2"/>
          <w:sz w:val="32"/>
          <w:szCs w:val="32"/>
        </w:rPr>
        <w:t>外送通道</w:t>
      </w:r>
      <w:r>
        <w:rPr>
          <w:rFonts w:cs="Times New Roman"/>
          <w:b/>
          <w:color w:val="000000"/>
          <w:sz w:val="32"/>
          <w:szCs w:val="32"/>
        </w:rPr>
        <w:t>。</w:t>
      </w:r>
      <w:r>
        <w:rPr>
          <w:rFonts w:hint="eastAsia" w:cs="Times New Roman"/>
          <w:bCs/>
          <w:color w:val="000000"/>
          <w:sz w:val="32"/>
          <w:szCs w:val="32"/>
        </w:rPr>
        <w:t>接轨</w:t>
      </w:r>
      <w:r>
        <w:rPr>
          <w:rFonts w:hint="eastAsia" w:cs="Times New Roman"/>
          <w:bCs/>
          <w:color w:val="000000"/>
          <w:sz w:val="32"/>
          <w:szCs w:val="32"/>
          <w:lang w:val="en-US" w:eastAsia="zh-CN"/>
        </w:rPr>
        <w:t>榆西</w:t>
      </w:r>
      <w:r>
        <w:rPr>
          <w:rFonts w:cs="Times New Roman"/>
          <w:bCs/>
          <w:color w:val="000000"/>
          <w:sz w:val="32"/>
          <w:szCs w:val="32"/>
        </w:rPr>
        <w:t>欧班列，扩大能化产品出口交易。推动交通与物流融合发</w:t>
      </w:r>
      <w:r>
        <w:rPr>
          <w:rFonts w:cs="Times New Roman"/>
          <w:color w:val="000000"/>
          <w:sz w:val="32"/>
          <w:szCs w:val="32"/>
          <w:shd w:val="clear" w:color="auto" w:fill="FFFFFF"/>
        </w:rPr>
        <w:t>展，</w:t>
      </w:r>
      <w:r>
        <w:rPr>
          <w:rFonts w:hint="eastAsia" w:cs="Times New Roman"/>
          <w:color w:val="000000"/>
          <w:sz w:val="32"/>
          <w:szCs w:val="32"/>
          <w:shd w:val="clear" w:color="auto" w:fill="FFFFFF"/>
        </w:rPr>
        <w:t>完善</w:t>
      </w:r>
      <w:r>
        <w:rPr>
          <w:rFonts w:cs="Times New Roman"/>
          <w:color w:val="000000"/>
          <w:sz w:val="32"/>
          <w:szCs w:val="32"/>
          <w:shd w:val="clear" w:color="auto" w:fill="FFFFFF"/>
        </w:rPr>
        <w:t>重点矿区、园区和企业铁路专支线网</w:t>
      </w:r>
      <w:r>
        <w:rPr>
          <w:rFonts w:cs="Times New Roman"/>
          <w:bCs/>
          <w:color w:val="000000"/>
          <w:sz w:val="32"/>
          <w:szCs w:val="32"/>
        </w:rPr>
        <w:t>，新建24条铁路专用线及集装站，探索推广管带运煤，形成</w:t>
      </w:r>
      <w:r>
        <w:rPr>
          <w:rFonts w:cs="Times New Roman"/>
          <w:sz w:val="32"/>
          <w:szCs w:val="32"/>
        </w:rPr>
        <w:t>铁路承担大宗货物运输、公路承担货物提取配送物流体系。</w:t>
      </w:r>
      <w:r>
        <w:rPr>
          <w:rFonts w:cs="Times New Roman"/>
          <w:bCs/>
          <w:color w:val="000000"/>
          <w:sz w:val="32"/>
          <w:szCs w:val="32"/>
        </w:rPr>
        <w:t>加快天然气管道互联互通，</w:t>
      </w:r>
      <w:r>
        <w:rPr>
          <w:rFonts w:cs="Times New Roman"/>
          <w:color w:val="000000"/>
          <w:sz w:val="32"/>
          <w:szCs w:val="32"/>
          <w:shd w:val="clear" w:color="auto" w:fill="FFFFFF"/>
        </w:rPr>
        <w:t>推进高新区、兰炭产业</w:t>
      </w:r>
      <w:r>
        <w:rPr>
          <w:rFonts w:hint="eastAsia" w:cs="Times New Roman"/>
          <w:color w:val="000000"/>
          <w:sz w:val="32"/>
          <w:szCs w:val="32"/>
          <w:shd w:val="clear" w:color="auto" w:fill="FFFFFF"/>
        </w:rPr>
        <w:t>特色</w:t>
      </w:r>
      <w:r>
        <w:rPr>
          <w:rFonts w:cs="Times New Roman"/>
          <w:color w:val="000000"/>
          <w:sz w:val="32"/>
          <w:szCs w:val="32"/>
          <w:shd w:val="clear" w:color="auto" w:fill="FFFFFF"/>
        </w:rPr>
        <w:t>园区管道建设，</w:t>
      </w:r>
      <w:r>
        <w:rPr>
          <w:rFonts w:cs="Times New Roman"/>
          <w:bCs/>
          <w:color w:val="000000"/>
          <w:sz w:val="32"/>
          <w:szCs w:val="32"/>
        </w:rPr>
        <w:t>加强企业间、气源间互供互保。</w:t>
      </w:r>
    </w:p>
    <w:tbl>
      <w:tblPr>
        <w:tblStyle w:val="25"/>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373" w:type="dxa"/>
          </w:tcPr>
          <w:p>
            <w:pPr>
              <w:spacing w:line="440" w:lineRule="exact"/>
              <w:ind w:firstLine="0" w:firstLineChars="0"/>
              <w:jc w:val="left"/>
              <w:rPr>
                <w:rFonts w:hint="eastAsia" w:ascii="黑体" w:hAnsi="黑体" w:eastAsia="黑体" w:cs="黑体"/>
                <w:sz w:val="24"/>
                <w:szCs w:val="24"/>
                <w:lang w:val="en-US" w:eastAsia="zh-CN"/>
              </w:rPr>
            </w:pPr>
            <w:r>
              <w:rPr>
                <w:rFonts w:hint="eastAsia" w:ascii="黑体" w:hAnsi="黑体" w:eastAsia="黑体" w:cs="黑体"/>
                <w:sz w:val="24"/>
                <w:szCs w:val="24"/>
              </w:rPr>
              <w:t>专栏</w:t>
            </w:r>
            <w:r>
              <w:rPr>
                <w:rFonts w:hint="eastAsia" w:ascii="黑体" w:hAnsi="黑体" w:eastAsia="黑体" w:cs="黑体"/>
                <w:sz w:val="24"/>
                <w:szCs w:val="24"/>
                <w:lang w:val="en-US" w:eastAsia="zh-CN"/>
              </w:rPr>
              <w:t>8：</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黑体" w:hAnsi="黑体" w:eastAsia="黑体" w:cs="黑体"/>
              </w:rPr>
            </w:pPr>
            <w:r>
              <w:rPr>
                <w:rFonts w:hint="eastAsia" w:ascii="黑体" w:hAnsi="黑体" w:eastAsia="黑体" w:cs="黑体"/>
              </w:rPr>
              <w:t>“十四五”工业产品外运重大工程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铁路专用线：</w:t>
            </w:r>
            <w:r>
              <w:rPr>
                <w:rFonts w:hint="eastAsia" w:ascii="仿宋_GB2312" w:hAnsi="仿宋_GB2312" w:eastAsia="仿宋_GB2312" w:cs="仿宋_GB2312"/>
                <w:sz w:val="24"/>
                <w:szCs w:val="24"/>
              </w:rPr>
              <w:t>国能煤炭神木西站铁路专用线及煤炭集运站、能源集团</w:t>
            </w:r>
            <w:r>
              <w:rPr>
                <w:rFonts w:hint="eastAsia" w:ascii="仿宋_GB2312" w:hAnsi="仿宋_GB2312" w:cs="仿宋_GB2312"/>
                <w:sz w:val="24"/>
                <w:szCs w:val="24"/>
                <w:lang w:val="en-US" w:eastAsia="zh-CN"/>
              </w:rPr>
              <w:t>锦界</w:t>
            </w:r>
            <w:r>
              <w:rPr>
                <w:rFonts w:hint="eastAsia" w:ascii="仿宋_GB2312" w:hAnsi="仿宋_GB2312" w:eastAsia="仿宋_GB2312" w:cs="仿宋_GB2312"/>
                <w:sz w:val="24"/>
                <w:szCs w:val="24"/>
              </w:rPr>
              <w:t>铁路专用线及集</w:t>
            </w:r>
            <w:r>
              <w:rPr>
                <w:rFonts w:hint="eastAsia" w:ascii="仿宋_GB2312" w:hAnsi="仿宋_GB2312" w:cs="仿宋_GB2312"/>
                <w:sz w:val="24"/>
                <w:szCs w:val="24"/>
                <w:lang w:val="en-US" w:eastAsia="zh-CN"/>
              </w:rPr>
              <w:t>装</w:t>
            </w:r>
            <w:r>
              <w:rPr>
                <w:rFonts w:hint="eastAsia" w:ascii="仿宋_GB2312" w:hAnsi="仿宋_GB2312" w:eastAsia="仿宋_GB2312" w:cs="仿宋_GB2312"/>
                <w:sz w:val="24"/>
                <w:szCs w:val="24"/>
              </w:rPr>
              <w:t>站、凉水井铁路专用线及集运站、江龙能源神木西站铁路专用线及煤炭集运站</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恒力集团煤化工产业园铁路专用线、金泰氯碱铁路专用线</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铁运达物流铁路专用线、腾雨物流铁路专用线、弘昊物流铁路专用线、赛丰煤炭铁路专用线、志昊商贸中鸡铁路专用线、雷太商贸铁路专用线、国融煤炭铁路专用线、隆德煤矿</w:t>
            </w:r>
            <w:r>
              <w:rPr>
                <w:rFonts w:hint="eastAsia" w:ascii="仿宋_GB2312" w:hAnsi="仿宋_GB2312" w:cs="仿宋_GB2312"/>
                <w:sz w:val="24"/>
                <w:szCs w:val="24"/>
                <w:lang w:eastAsia="zh-CN"/>
              </w:rPr>
              <w:t>铁路</w:t>
            </w:r>
            <w:r>
              <w:rPr>
                <w:rFonts w:hint="eastAsia" w:ascii="仿宋_GB2312" w:hAnsi="仿宋_GB2312" w:eastAsia="仿宋_GB2312" w:cs="仿宋_GB2312"/>
                <w:sz w:val="24"/>
                <w:szCs w:val="24"/>
              </w:rPr>
              <w:t>专用线、弘东浩强铁路专用线、锦东至清水铁路专用线、秦运达物流专用线、汇力能源铁路专用线、远兴铁路专用线</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远道煤炭集运站、三堂集运站、神木西集运站</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cs="Times New Roman"/>
              </w:rPr>
            </w:pPr>
            <w:r>
              <w:rPr>
                <w:rFonts w:hint="eastAsia" w:ascii="楷体_GB2312" w:hAnsi="楷体_GB2312" w:eastAsia="楷体_GB2312" w:cs="楷体_GB2312"/>
                <w:b/>
                <w:bCs/>
                <w:sz w:val="24"/>
                <w:szCs w:val="24"/>
              </w:rPr>
              <w:t>货运站场：</w:t>
            </w:r>
            <w:r>
              <w:rPr>
                <w:rFonts w:hint="eastAsia" w:ascii="仿宋_GB2312" w:hAnsi="仿宋_GB2312" w:eastAsia="仿宋_GB2312" w:cs="仿宋_GB2312"/>
                <w:sz w:val="24"/>
                <w:szCs w:val="24"/>
              </w:rPr>
              <w:t>建设大柳塔物流园、西站物流园、空港物流园、大保当物流园</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锦界物流园区、</w:t>
            </w:r>
            <w:r>
              <w:rPr>
                <w:rFonts w:hint="eastAsia" w:ascii="仿宋_GB2312" w:hAnsi="仿宋_GB2312" w:cs="仿宋_GB2312"/>
                <w:sz w:val="24"/>
                <w:szCs w:val="24"/>
                <w:lang w:eastAsia="zh-CN"/>
              </w:rPr>
              <w:t>滨河新区</w:t>
            </w:r>
            <w:r>
              <w:rPr>
                <w:rFonts w:hint="eastAsia" w:ascii="仿宋_GB2312" w:hAnsi="仿宋_GB2312" w:eastAsia="仿宋_GB2312" w:cs="仿宋_GB2312"/>
                <w:sz w:val="24"/>
                <w:szCs w:val="24"/>
              </w:rPr>
              <w:t>快递电商物流园区、经开区综合流园区。11个乡镇</w:t>
            </w:r>
            <w:r>
              <w:rPr>
                <w:rFonts w:hint="eastAsia" w:ascii="仿宋_GB2312" w:hAnsi="仿宋_GB2312" w:cs="仿宋_GB2312"/>
                <w:sz w:val="24"/>
                <w:szCs w:val="24"/>
                <w:lang w:eastAsia="zh-CN"/>
              </w:rPr>
              <w:t>建设</w:t>
            </w:r>
            <w:r>
              <w:rPr>
                <w:rFonts w:hint="eastAsia" w:ascii="仿宋_GB2312" w:hAnsi="仿宋_GB2312" w:eastAsia="仿宋_GB2312" w:cs="仿宋_GB2312"/>
                <w:sz w:val="24"/>
                <w:szCs w:val="24"/>
              </w:rPr>
              <w:t>配送物流中心。</w:t>
            </w:r>
          </w:p>
        </w:tc>
      </w:tr>
    </w:tbl>
    <w:p>
      <w:pPr>
        <w:spacing w:line="576" w:lineRule="exact"/>
        <w:ind w:firstLine="643"/>
        <w:jc w:val="both"/>
        <w:rPr>
          <w:rFonts w:cs="Times New Roman"/>
          <w:b/>
          <w:bCs/>
          <w:kern w:val="2"/>
          <w:sz w:val="32"/>
          <w:szCs w:val="32"/>
        </w:rPr>
      </w:pPr>
      <w:r>
        <w:rPr>
          <w:rFonts w:eastAsia="仿宋" w:cs="Times New Roman"/>
          <w:b/>
          <w:bCs/>
          <w:kern w:val="2"/>
          <w:sz w:val="32"/>
          <w:szCs w:val="32"/>
        </w:rPr>
        <w:t>拓展能源化工市场。</w:t>
      </w:r>
      <w:r>
        <w:rPr>
          <w:rFonts w:hint="eastAsia" w:cs="Times New Roman"/>
          <w:sz w:val="32"/>
          <w:szCs w:val="32"/>
        </w:rPr>
        <w:t>持续</w:t>
      </w:r>
      <w:r>
        <w:rPr>
          <w:rFonts w:cs="Times New Roman"/>
          <w:sz w:val="32"/>
          <w:szCs w:val="32"/>
        </w:rPr>
        <w:t>巩固提升传统市场，</w:t>
      </w:r>
      <w:r>
        <w:rPr>
          <w:rFonts w:hint="eastAsia" w:cs="Times New Roman"/>
          <w:sz w:val="32"/>
          <w:szCs w:val="32"/>
        </w:rPr>
        <w:t>开辟</w:t>
      </w:r>
      <w:r>
        <w:rPr>
          <w:rFonts w:cs="Times New Roman"/>
          <w:sz w:val="32"/>
          <w:szCs w:val="32"/>
        </w:rPr>
        <w:t>拓展新兴市场</w:t>
      </w:r>
      <w:r>
        <w:rPr>
          <w:rFonts w:hint="eastAsia" w:cs="Times New Roman"/>
          <w:sz w:val="32"/>
          <w:szCs w:val="32"/>
        </w:rPr>
        <w:t>，</w:t>
      </w:r>
      <w:r>
        <w:rPr>
          <w:rFonts w:cs="Times New Roman"/>
          <w:sz w:val="32"/>
          <w:szCs w:val="32"/>
        </w:rPr>
        <w:t>推进规上企业</w:t>
      </w:r>
      <w:r>
        <w:rPr>
          <w:rFonts w:cs="Times New Roman"/>
          <w:bCs/>
          <w:color w:val="000000"/>
          <w:sz w:val="32"/>
          <w:szCs w:val="32"/>
        </w:rPr>
        <w:t>产销分离，提高商贸服务业在工业发展中的作用。</w:t>
      </w:r>
      <w:r>
        <w:rPr>
          <w:rFonts w:cs="Times New Roman"/>
          <w:sz w:val="32"/>
          <w:szCs w:val="32"/>
        </w:rPr>
        <w:t>在京津冀等重要城市设立销售</w:t>
      </w:r>
      <w:r>
        <w:rPr>
          <w:rFonts w:hint="eastAsia" w:cs="Times New Roman"/>
          <w:sz w:val="32"/>
          <w:szCs w:val="32"/>
        </w:rPr>
        <w:t>网</w:t>
      </w:r>
      <w:r>
        <w:rPr>
          <w:rFonts w:cs="Times New Roman"/>
          <w:sz w:val="32"/>
          <w:szCs w:val="32"/>
        </w:rPr>
        <w:t>、</w:t>
      </w:r>
      <w:r>
        <w:rPr>
          <w:rFonts w:hint="eastAsia" w:cs="Times New Roman"/>
          <w:sz w:val="32"/>
          <w:szCs w:val="32"/>
        </w:rPr>
        <w:t>配送库，</w:t>
      </w:r>
      <w:r>
        <w:rPr>
          <w:rFonts w:cs="Times New Roman"/>
          <w:sz w:val="32"/>
          <w:szCs w:val="32"/>
        </w:rPr>
        <w:t>扩大神木工业产品市场份额。依托榆林市能化交易中心</w:t>
      </w:r>
      <w:r>
        <w:rPr>
          <w:rFonts w:hint="eastAsia" w:cs="Times New Roman"/>
          <w:sz w:val="32"/>
          <w:szCs w:val="32"/>
          <w:lang w:eastAsia="zh-CN"/>
        </w:rPr>
        <w:t>、“</w:t>
      </w:r>
      <w:r>
        <w:rPr>
          <w:rFonts w:hint="eastAsia" w:cs="Times New Roman"/>
          <w:sz w:val="32"/>
          <w:szCs w:val="32"/>
          <w:lang w:val="en-US" w:eastAsia="zh-CN"/>
        </w:rPr>
        <w:t>兰炭联</w:t>
      </w:r>
      <w:r>
        <w:rPr>
          <w:rFonts w:hint="eastAsia" w:cs="Times New Roman"/>
          <w:sz w:val="32"/>
          <w:szCs w:val="32"/>
          <w:lang w:eastAsia="zh-CN"/>
        </w:rPr>
        <w:t>”“</w:t>
      </w:r>
      <w:r>
        <w:rPr>
          <w:rFonts w:hint="eastAsia" w:cs="Times New Roman"/>
          <w:sz w:val="32"/>
          <w:szCs w:val="32"/>
          <w:lang w:val="en-US" w:eastAsia="zh-CN"/>
        </w:rPr>
        <w:t>煤亮子</w:t>
      </w:r>
      <w:r>
        <w:rPr>
          <w:rFonts w:hint="eastAsia" w:cs="Times New Roman"/>
          <w:sz w:val="32"/>
          <w:szCs w:val="32"/>
          <w:lang w:eastAsia="zh-CN"/>
        </w:rPr>
        <w:t>”</w:t>
      </w:r>
      <w:r>
        <w:rPr>
          <w:rFonts w:hint="eastAsia" w:cs="Times New Roman"/>
          <w:sz w:val="32"/>
          <w:szCs w:val="32"/>
          <w:lang w:val="en-US" w:eastAsia="zh-CN"/>
        </w:rPr>
        <w:t>等产业互联网平台，</w:t>
      </w:r>
      <w:r>
        <w:rPr>
          <w:rFonts w:hint="eastAsia" w:cs="Times New Roman"/>
          <w:sz w:val="32"/>
          <w:szCs w:val="32"/>
        </w:rPr>
        <w:t>力争“十四五”末，能化产品实现全部上线交易</w:t>
      </w:r>
      <w:r>
        <w:rPr>
          <w:rFonts w:cs="Times New Roman"/>
          <w:sz w:val="32"/>
          <w:szCs w:val="32"/>
        </w:rPr>
        <w:t>。</w:t>
      </w:r>
      <w:r>
        <w:rPr>
          <w:rFonts w:cs="Times New Roman"/>
          <w:bCs/>
          <w:color w:val="000000"/>
          <w:sz w:val="32"/>
          <w:szCs w:val="32"/>
        </w:rPr>
        <w:t>借助</w:t>
      </w:r>
      <w:r>
        <w:rPr>
          <w:rFonts w:hint="eastAsia" w:cs="Times New Roman"/>
          <w:bCs/>
          <w:color w:val="000000"/>
          <w:sz w:val="32"/>
          <w:szCs w:val="32"/>
        </w:rPr>
        <w:t>国际国内博览会、产品推介会和区域合作</w:t>
      </w:r>
      <w:r>
        <w:rPr>
          <w:rFonts w:cs="Times New Roman"/>
          <w:bCs/>
          <w:color w:val="000000"/>
          <w:sz w:val="32"/>
          <w:szCs w:val="32"/>
        </w:rPr>
        <w:t>发展论坛等平台，与</w:t>
      </w:r>
      <w:r>
        <w:rPr>
          <w:rFonts w:hint="eastAsia" w:cs="Times New Roman"/>
          <w:bCs/>
          <w:color w:val="000000"/>
          <w:sz w:val="32"/>
          <w:szCs w:val="32"/>
        </w:rPr>
        <w:t>国际国内</w:t>
      </w:r>
      <w:r>
        <w:rPr>
          <w:rFonts w:cs="Times New Roman"/>
          <w:bCs/>
          <w:color w:val="000000"/>
          <w:sz w:val="32"/>
          <w:szCs w:val="32"/>
        </w:rPr>
        <w:t>重点地区开展产业合作、产销对接，提升神木特色能化产品市场影响力</w:t>
      </w:r>
      <w:r>
        <w:rPr>
          <w:rFonts w:hint="eastAsia" w:cs="Times New Roman"/>
          <w:bCs/>
          <w:color w:val="000000"/>
          <w:sz w:val="32"/>
          <w:szCs w:val="32"/>
          <w:lang w:eastAsia="zh-CN"/>
        </w:rPr>
        <w:t>和占有率</w:t>
      </w:r>
      <w:r>
        <w:rPr>
          <w:rFonts w:cs="Times New Roman"/>
          <w:bCs/>
          <w:color w:val="000000"/>
          <w:sz w:val="32"/>
          <w:szCs w:val="32"/>
        </w:rPr>
        <w:t>。</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3" w:name="_Toc6504"/>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四</w:t>
      </w:r>
      <w:r>
        <w:rPr>
          <w:rFonts w:hint="eastAsia" w:ascii="楷体_GB2312" w:hAnsi="楷体_GB2312" w:eastAsia="楷体_GB2312" w:cs="楷体_GB2312"/>
          <w:bCs/>
          <w:sz w:val="32"/>
          <w:szCs w:val="32"/>
        </w:rPr>
        <w:t>节 满足更高层次的消费需求</w:t>
      </w:r>
      <w:bookmarkEnd w:id="23"/>
    </w:p>
    <w:p>
      <w:pPr>
        <w:spacing w:line="576" w:lineRule="exact"/>
        <w:ind w:firstLine="640"/>
        <w:jc w:val="both"/>
        <w:rPr>
          <w:rFonts w:cs="Times New Roman"/>
          <w:sz w:val="32"/>
          <w:szCs w:val="32"/>
        </w:rPr>
      </w:pPr>
      <w:r>
        <w:rPr>
          <w:rFonts w:cs="Times New Roman"/>
          <w:sz w:val="32"/>
          <w:szCs w:val="32"/>
        </w:rPr>
        <w:t>构建多层次多样化消费体系，提升传统消费，培育新型消费，增加公共消费，增强消费对经济发展的基础性作用。</w:t>
      </w:r>
    </w:p>
    <w:p>
      <w:pPr>
        <w:spacing w:line="576" w:lineRule="exact"/>
        <w:ind w:firstLine="640"/>
        <w:jc w:val="both"/>
        <w:rPr>
          <w:rFonts w:cs="Times New Roman"/>
          <w:sz w:val="32"/>
          <w:szCs w:val="32"/>
          <w:highlight w:val="yellow"/>
        </w:rPr>
      </w:pPr>
      <w:r>
        <w:rPr>
          <w:rFonts w:cs="Times New Roman"/>
          <w:b/>
          <w:bCs/>
          <w:sz w:val="32"/>
          <w:szCs w:val="32"/>
        </w:rPr>
        <w:t>打造</w:t>
      </w:r>
      <w:r>
        <w:rPr>
          <w:rFonts w:hint="eastAsia" w:cs="Times New Roman"/>
          <w:b/>
          <w:bCs/>
          <w:sz w:val="32"/>
          <w:szCs w:val="32"/>
        </w:rPr>
        <w:t>区域性</w:t>
      </w:r>
      <w:r>
        <w:rPr>
          <w:rFonts w:cs="Times New Roman"/>
          <w:b/>
          <w:bCs/>
          <w:sz w:val="32"/>
          <w:szCs w:val="32"/>
        </w:rPr>
        <w:t>商圈。</w:t>
      </w:r>
      <w:r>
        <w:rPr>
          <w:rFonts w:cs="Times New Roman"/>
          <w:sz w:val="32"/>
          <w:szCs w:val="32"/>
        </w:rPr>
        <w:t>优化布局</w:t>
      </w:r>
      <w:r>
        <w:rPr>
          <w:rFonts w:hint="eastAsia" w:cs="Times New Roman"/>
          <w:sz w:val="32"/>
          <w:szCs w:val="32"/>
        </w:rPr>
        <w:t>现代高端特色</w:t>
      </w:r>
      <w:r>
        <w:rPr>
          <w:rFonts w:cs="Times New Roman"/>
          <w:sz w:val="32"/>
          <w:szCs w:val="32"/>
        </w:rPr>
        <w:t>商业设施，新增20万平米商业综合体，新建麟州街中式步行街、滨河新区</w:t>
      </w:r>
      <w:r>
        <w:rPr>
          <w:rFonts w:hint="eastAsia" w:cs="Times New Roman"/>
          <w:sz w:val="32"/>
          <w:szCs w:val="32"/>
          <w:lang w:eastAsia="zh-CN"/>
        </w:rPr>
        <w:t>建安路</w:t>
      </w:r>
      <w:r>
        <w:rPr>
          <w:rFonts w:cs="Times New Roman"/>
          <w:sz w:val="32"/>
          <w:szCs w:val="32"/>
        </w:rPr>
        <w:t>步行街，</w:t>
      </w:r>
      <w:r>
        <w:rPr>
          <w:rFonts w:cs="Times New Roman"/>
          <w:color w:val="000000"/>
          <w:sz w:val="32"/>
          <w:szCs w:val="32"/>
        </w:rPr>
        <w:t>形成滨河新区</w:t>
      </w:r>
      <w:r>
        <w:rPr>
          <w:rFonts w:hint="eastAsia" w:cs="Times New Roman"/>
          <w:color w:val="000000"/>
          <w:sz w:val="32"/>
          <w:szCs w:val="32"/>
        </w:rPr>
        <w:t>、</w:t>
      </w:r>
      <w:r>
        <w:rPr>
          <w:rFonts w:cs="Times New Roman"/>
          <w:color w:val="000000"/>
          <w:sz w:val="32"/>
          <w:szCs w:val="32"/>
        </w:rPr>
        <w:t>老城</w:t>
      </w:r>
      <w:r>
        <w:rPr>
          <w:rFonts w:hint="eastAsia" w:cs="Times New Roman"/>
          <w:color w:val="000000"/>
          <w:sz w:val="32"/>
          <w:szCs w:val="32"/>
        </w:rPr>
        <w:t>等特色消费商圈</w:t>
      </w:r>
      <w:r>
        <w:rPr>
          <w:rFonts w:cs="Times New Roman"/>
          <w:color w:val="000000"/>
          <w:sz w:val="32"/>
          <w:szCs w:val="32"/>
        </w:rPr>
        <w:t>，</w:t>
      </w:r>
      <w:r>
        <w:rPr>
          <w:rFonts w:cs="Times New Roman"/>
          <w:sz w:val="32"/>
          <w:szCs w:val="32"/>
        </w:rPr>
        <w:t>引进一线品牌</w:t>
      </w:r>
      <w:r>
        <w:rPr>
          <w:rFonts w:cs="Times New Roman"/>
          <w:color w:val="000000"/>
          <w:sz w:val="32"/>
          <w:szCs w:val="32"/>
        </w:rPr>
        <w:t>旗舰店</w:t>
      </w:r>
      <w:r>
        <w:rPr>
          <w:rFonts w:cs="Times New Roman"/>
          <w:sz w:val="32"/>
          <w:szCs w:val="32"/>
        </w:rPr>
        <w:t>，</w:t>
      </w:r>
      <w:r>
        <w:rPr>
          <w:rFonts w:hint="eastAsia" w:cs="Times New Roman"/>
          <w:sz w:val="32"/>
          <w:szCs w:val="32"/>
        </w:rPr>
        <w:t>满足多层次消费需求</w:t>
      </w:r>
      <w:r>
        <w:rPr>
          <w:rFonts w:cs="Times New Roman"/>
          <w:color w:val="000000"/>
          <w:sz w:val="32"/>
          <w:szCs w:val="32"/>
        </w:rPr>
        <w:t>。</w:t>
      </w:r>
      <w:r>
        <w:rPr>
          <w:rFonts w:cs="Times New Roman"/>
          <w:sz w:val="32"/>
          <w:szCs w:val="32"/>
        </w:rPr>
        <w:t>完善社区便利店、生活综合服务中心</w:t>
      </w:r>
      <w:r>
        <w:rPr>
          <w:rFonts w:hint="eastAsia" w:cs="Times New Roman"/>
          <w:sz w:val="32"/>
          <w:szCs w:val="32"/>
        </w:rPr>
        <w:t>等</w:t>
      </w:r>
      <w:r>
        <w:rPr>
          <w:rFonts w:cs="Times New Roman"/>
          <w:sz w:val="32"/>
          <w:szCs w:val="32"/>
        </w:rPr>
        <w:t>消费终端建设，发展“小店经济”，打造“15分钟便民生活圈”。健全城乡消费网络，完善三级物流、冷链配送和镇级商贸物流配送中心，促进商品下乡、农产品进城双向流通。充分发挥农投公司“基地+农户</w:t>
      </w:r>
      <w:r>
        <w:rPr>
          <w:rFonts w:hint="eastAsia" w:cs="Times New Roman"/>
          <w:sz w:val="32"/>
          <w:szCs w:val="32"/>
        </w:rPr>
        <w:t>+消费端</w:t>
      </w:r>
      <w:r>
        <w:rPr>
          <w:rFonts w:cs="Times New Roman"/>
          <w:sz w:val="32"/>
          <w:szCs w:val="32"/>
        </w:rPr>
        <w:t>”运营模式，整合农产品优势资源，向</w:t>
      </w:r>
      <w:r>
        <w:rPr>
          <w:rFonts w:hint="eastAsia" w:cs="Times New Roman"/>
          <w:sz w:val="32"/>
          <w:szCs w:val="32"/>
        </w:rPr>
        <w:t>周边</w:t>
      </w:r>
      <w:r>
        <w:rPr>
          <w:rFonts w:cs="Times New Roman"/>
          <w:sz w:val="32"/>
          <w:szCs w:val="32"/>
        </w:rPr>
        <w:t>企业供应农产品。稳定汽车等传统大宗消费，支持购买新能源汽车。促进住房消费健康发展。到2025年，全社会消费品零售总额超过135亿元，年均增长6%。</w:t>
      </w:r>
    </w:p>
    <w:p>
      <w:pPr>
        <w:tabs>
          <w:tab w:val="left" w:pos="660"/>
        </w:tabs>
        <w:spacing w:line="576" w:lineRule="exact"/>
        <w:ind w:firstLine="640"/>
        <w:jc w:val="both"/>
        <w:rPr>
          <w:rFonts w:eastAsia="仿宋" w:cs="Times New Roman"/>
          <w:sz w:val="32"/>
          <w:szCs w:val="32"/>
        </w:rPr>
      </w:pPr>
      <w:r>
        <w:rPr>
          <w:rFonts w:cs="Times New Roman"/>
          <w:b/>
          <w:bCs/>
          <w:sz w:val="32"/>
          <w:szCs w:val="32"/>
        </w:rPr>
        <w:t>培育消费新业态。</w:t>
      </w:r>
      <w:r>
        <w:rPr>
          <w:rFonts w:cs="Times New Roman"/>
          <w:color w:val="000000"/>
          <w:sz w:val="32"/>
          <w:szCs w:val="32"/>
        </w:rPr>
        <w:t>打造跨境电商体验</w:t>
      </w:r>
      <w:r>
        <w:rPr>
          <w:rFonts w:hint="eastAsia" w:cs="Times New Roman"/>
          <w:color w:val="000000"/>
          <w:sz w:val="32"/>
          <w:szCs w:val="32"/>
        </w:rPr>
        <w:t>和</w:t>
      </w:r>
      <w:r>
        <w:rPr>
          <w:rFonts w:cs="Times New Roman"/>
          <w:color w:val="000000"/>
          <w:sz w:val="32"/>
          <w:szCs w:val="32"/>
        </w:rPr>
        <w:t>进口产品展示交易中心，提升境外商品消费便利度。</w:t>
      </w:r>
      <w:r>
        <w:rPr>
          <w:rFonts w:cs="Times New Roman"/>
          <w:sz w:val="32"/>
          <w:szCs w:val="32"/>
        </w:rPr>
        <w:t>培育消费新热点，促进线上线下消费融合发展，</w:t>
      </w:r>
      <w:r>
        <w:rPr>
          <w:rFonts w:hint="eastAsia" w:cs="Times New Roman"/>
          <w:sz w:val="32"/>
          <w:szCs w:val="32"/>
        </w:rPr>
        <w:t>鼓励</w:t>
      </w:r>
      <w:r>
        <w:rPr>
          <w:rFonts w:cs="Times New Roman"/>
          <w:sz w:val="32"/>
          <w:szCs w:val="32"/>
        </w:rPr>
        <w:t>发展直播</w:t>
      </w:r>
      <w:r>
        <w:rPr>
          <w:rFonts w:hint="eastAsia" w:cs="Times New Roman"/>
          <w:sz w:val="32"/>
          <w:szCs w:val="32"/>
        </w:rPr>
        <w:t>带货、</w:t>
      </w:r>
      <w:r>
        <w:rPr>
          <w:rFonts w:cs="Times New Roman"/>
          <w:color w:val="000000"/>
          <w:sz w:val="32"/>
          <w:szCs w:val="32"/>
        </w:rPr>
        <w:t>智慧零售、绿色零售</w:t>
      </w:r>
      <w:r>
        <w:rPr>
          <w:rFonts w:cs="Times New Roman"/>
          <w:sz w:val="32"/>
          <w:szCs w:val="32"/>
        </w:rPr>
        <w:t>等新模式</w:t>
      </w:r>
      <w:r>
        <w:rPr>
          <w:rFonts w:cs="Times New Roman"/>
          <w:color w:val="000000"/>
          <w:sz w:val="32"/>
          <w:szCs w:val="32"/>
        </w:rPr>
        <w:t>。发挥商业街区消费集聚优势，</w:t>
      </w:r>
      <w:r>
        <w:rPr>
          <w:rFonts w:hint="eastAsia" w:cs="Times New Roman"/>
          <w:color w:val="000000"/>
          <w:sz w:val="32"/>
          <w:szCs w:val="32"/>
        </w:rPr>
        <w:t>发展</w:t>
      </w:r>
      <w:r>
        <w:rPr>
          <w:rFonts w:hint="eastAsia" w:cs="Times New Roman"/>
          <w:color w:val="000000"/>
          <w:sz w:val="32"/>
          <w:szCs w:val="32"/>
          <w:lang w:eastAsia="zh-CN"/>
        </w:rPr>
        <w:t>“楼宇经济”“总部经济”</w:t>
      </w:r>
      <w:r>
        <w:rPr>
          <w:rFonts w:hint="eastAsia" w:cs="Times New Roman"/>
          <w:color w:val="000000"/>
          <w:sz w:val="32"/>
          <w:szCs w:val="32"/>
        </w:rPr>
        <w:t>“夜间经济”“地摊经济”，</w:t>
      </w:r>
      <w:r>
        <w:rPr>
          <w:rFonts w:cs="Times New Roman"/>
          <w:color w:val="000000"/>
          <w:sz w:val="32"/>
          <w:szCs w:val="32"/>
        </w:rPr>
        <w:t>营造</w:t>
      </w:r>
      <w:r>
        <w:rPr>
          <w:rFonts w:hint="eastAsia" w:cs="Times New Roman"/>
          <w:color w:val="000000"/>
          <w:sz w:val="32"/>
          <w:szCs w:val="32"/>
        </w:rPr>
        <w:t>休闲娱乐</w:t>
      </w:r>
      <w:r>
        <w:rPr>
          <w:rFonts w:cs="Times New Roman"/>
          <w:color w:val="000000"/>
          <w:sz w:val="32"/>
          <w:szCs w:val="32"/>
        </w:rPr>
        <w:t>的夜间消费场景。</w:t>
      </w:r>
      <w:r>
        <w:rPr>
          <w:rFonts w:cs="Times New Roman"/>
          <w:sz w:val="32"/>
          <w:szCs w:val="32"/>
        </w:rPr>
        <w:t>落实和完善带薪休假制度，扩大节假日消费。</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4" w:name="_Toc536"/>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五</w:t>
      </w:r>
      <w:r>
        <w:rPr>
          <w:rFonts w:hint="eastAsia" w:ascii="楷体_GB2312" w:hAnsi="楷体_GB2312" w:eastAsia="楷体_GB2312" w:cs="楷体_GB2312"/>
          <w:bCs/>
          <w:sz w:val="32"/>
          <w:szCs w:val="32"/>
        </w:rPr>
        <w:t>节 扩大</w:t>
      </w:r>
      <w:r>
        <w:rPr>
          <w:rFonts w:hint="eastAsia" w:ascii="楷体_GB2312" w:hAnsi="楷体_GB2312" w:eastAsia="楷体_GB2312" w:cs="楷体_GB2312"/>
          <w:bCs/>
          <w:sz w:val="32"/>
          <w:szCs w:val="32"/>
          <w:lang w:eastAsia="zh-CN"/>
        </w:rPr>
        <w:t>对外</w:t>
      </w:r>
      <w:r>
        <w:rPr>
          <w:rFonts w:hint="eastAsia" w:ascii="楷体_GB2312" w:hAnsi="楷体_GB2312" w:eastAsia="楷体_GB2312" w:cs="楷体_GB2312"/>
          <w:bCs/>
          <w:sz w:val="32"/>
          <w:szCs w:val="32"/>
        </w:rPr>
        <w:t>开放水平</w:t>
      </w:r>
      <w:bookmarkEnd w:id="24"/>
    </w:p>
    <w:p>
      <w:pPr>
        <w:pStyle w:val="2"/>
        <w:spacing w:line="576" w:lineRule="exact"/>
        <w:ind w:firstLine="643"/>
        <w:rPr>
          <w:rFonts w:ascii="Times New Roman" w:hAnsi="Times New Roman" w:cs="Times New Roman"/>
          <w:color w:val="000000"/>
          <w:sz w:val="32"/>
          <w:szCs w:val="32"/>
        </w:rPr>
      </w:pPr>
      <w:r>
        <w:rPr>
          <w:rFonts w:ascii="Times New Roman" w:hAnsi="Times New Roman" w:eastAsia="仿宋" w:cs="Times New Roman"/>
          <w:b/>
          <w:bCs/>
          <w:sz w:val="32"/>
          <w:szCs w:val="32"/>
        </w:rPr>
        <w:t>承接配套产业转移。</w:t>
      </w:r>
      <w:r>
        <w:rPr>
          <w:rFonts w:hint="eastAsia" w:ascii="Times New Roman" w:hAnsi="Times New Roman" w:cs="Times New Roman"/>
          <w:color w:val="000000"/>
          <w:sz w:val="32"/>
          <w:szCs w:val="32"/>
        </w:rPr>
        <w:t>衔接</w:t>
      </w:r>
      <w:r>
        <w:rPr>
          <w:rFonts w:ascii="Times New Roman" w:hAnsi="Times New Roman" w:cs="Times New Roman"/>
          <w:color w:val="000000"/>
          <w:sz w:val="32"/>
          <w:szCs w:val="32"/>
        </w:rPr>
        <w:t>京津冀、长江经济带等重大战略，围绕产业链</w:t>
      </w:r>
      <w:r>
        <w:rPr>
          <w:rFonts w:hint="eastAsia" w:ascii="Times New Roman" w:hAnsi="Times New Roman" w:cs="Times New Roman"/>
          <w:color w:val="000000"/>
          <w:sz w:val="32"/>
          <w:szCs w:val="32"/>
          <w:lang w:val="en-US" w:eastAsia="zh-CN"/>
        </w:rPr>
        <w:t>配套</w:t>
      </w:r>
      <w:r>
        <w:rPr>
          <w:rFonts w:ascii="Times New Roman" w:hAnsi="Times New Roman" w:cs="Times New Roman"/>
          <w:color w:val="000000"/>
          <w:sz w:val="32"/>
          <w:szCs w:val="32"/>
        </w:rPr>
        <w:t>，承接</w:t>
      </w:r>
      <w:r>
        <w:rPr>
          <w:rFonts w:ascii="Times New Roman" w:hAnsi="Times New Roman" w:cs="Times New Roman"/>
          <w:sz w:val="32"/>
          <w:szCs w:val="32"/>
        </w:rPr>
        <w:t>引进高端能源化工、装备制造等新型产业，</w:t>
      </w:r>
      <w:r>
        <w:rPr>
          <w:rFonts w:ascii="Times New Roman" w:hAnsi="Times New Roman" w:cs="Times New Roman"/>
          <w:color w:val="000000"/>
          <w:sz w:val="32"/>
          <w:szCs w:val="32"/>
        </w:rPr>
        <w:t>创建国家承接产业转移示范区。</w:t>
      </w:r>
      <w:r>
        <w:rPr>
          <w:rFonts w:hint="eastAsia" w:ascii="Times New Roman" w:hAnsi="Times New Roman" w:cs="Times New Roman"/>
          <w:color w:val="000000"/>
          <w:sz w:val="32"/>
          <w:szCs w:val="32"/>
        </w:rPr>
        <w:t>加强</w:t>
      </w:r>
      <w:r>
        <w:rPr>
          <w:rFonts w:ascii="Times New Roman" w:hAnsi="Times New Roman" w:cs="Times New Roman"/>
          <w:color w:val="000000"/>
          <w:sz w:val="32"/>
          <w:szCs w:val="32"/>
        </w:rPr>
        <w:t>呼包鄂榆银能源战略合作，协同打造国家能源战略腹地</w:t>
      </w:r>
      <w:r>
        <w:rPr>
          <w:rFonts w:hint="eastAsia" w:ascii="Times New Roman" w:hAnsi="Times New Roman" w:cs="Times New Roman"/>
          <w:color w:val="000000"/>
          <w:sz w:val="32"/>
          <w:szCs w:val="32"/>
        </w:rPr>
        <w:t>，</w:t>
      </w:r>
      <w:r>
        <w:rPr>
          <w:rFonts w:ascii="Times New Roman" w:hAnsi="Times New Roman" w:cs="Times New Roman"/>
          <w:color w:val="000000"/>
          <w:sz w:val="32"/>
          <w:szCs w:val="32"/>
        </w:rPr>
        <w:t>建设陕蒙大乌合作试验区，探索区域</w:t>
      </w:r>
      <w:r>
        <w:rPr>
          <w:rFonts w:hint="eastAsia" w:ascii="Times New Roman" w:hAnsi="Times New Roman" w:cs="Times New Roman"/>
          <w:color w:val="000000"/>
          <w:sz w:val="32"/>
          <w:szCs w:val="32"/>
        </w:rPr>
        <w:t>协同发展</w:t>
      </w:r>
      <w:r>
        <w:rPr>
          <w:rFonts w:ascii="Times New Roman" w:hAnsi="Times New Roman" w:cs="Times New Roman"/>
          <w:color w:val="000000"/>
          <w:sz w:val="32"/>
          <w:szCs w:val="32"/>
        </w:rPr>
        <w:t>机制。</w:t>
      </w:r>
      <w:r>
        <w:rPr>
          <w:rFonts w:ascii="Times New Roman" w:hAnsi="Times New Roman" w:cs="Times New Roman"/>
          <w:sz w:val="32"/>
          <w:szCs w:val="32"/>
        </w:rPr>
        <w:t>落实苏陕协作，全力推动恒力纺织园落地</w:t>
      </w:r>
      <w:r>
        <w:rPr>
          <w:rFonts w:ascii="Times New Roman" w:hAnsi="Times New Roman" w:cs="Times New Roman"/>
          <w:color w:val="000000"/>
          <w:sz w:val="32"/>
          <w:szCs w:val="32"/>
        </w:rPr>
        <w:t>。运营好西安飞地科技园，发展离岸</w:t>
      </w:r>
      <w:r>
        <w:rPr>
          <w:rFonts w:hint="eastAsia" w:ascii="Times New Roman" w:hAnsi="Times New Roman" w:cs="Times New Roman"/>
          <w:color w:val="000000"/>
          <w:sz w:val="32"/>
          <w:szCs w:val="32"/>
          <w:lang w:val="en-US" w:eastAsia="zh-CN"/>
        </w:rPr>
        <w:t>孵化</w:t>
      </w:r>
      <w:r>
        <w:rPr>
          <w:rFonts w:ascii="Times New Roman" w:hAnsi="Times New Roman" w:cs="Times New Roman"/>
          <w:color w:val="000000"/>
          <w:sz w:val="32"/>
          <w:szCs w:val="32"/>
        </w:rPr>
        <w:t>经济。</w:t>
      </w:r>
    </w:p>
    <w:p>
      <w:pPr>
        <w:spacing w:line="576" w:lineRule="exact"/>
        <w:ind w:firstLine="643"/>
        <w:jc w:val="both"/>
        <w:rPr>
          <w:rFonts w:cs="Times New Roman"/>
          <w:color w:val="000000"/>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hint="eastAsia" w:eastAsia="仿宋" w:cs="Times New Roman"/>
          <w:b/>
          <w:bCs/>
          <w:sz w:val="32"/>
          <w:szCs w:val="32"/>
        </w:rPr>
        <w:t>扩大</w:t>
      </w:r>
      <w:r>
        <w:rPr>
          <w:rFonts w:eastAsia="仿宋" w:cs="Times New Roman"/>
          <w:b/>
          <w:bCs/>
          <w:sz w:val="32"/>
          <w:szCs w:val="32"/>
        </w:rPr>
        <w:t>外贸出口。</w:t>
      </w:r>
      <w:r>
        <w:rPr>
          <w:rFonts w:cs="Times New Roman"/>
          <w:color w:val="000000"/>
          <w:sz w:val="32"/>
          <w:szCs w:val="32"/>
        </w:rPr>
        <w:t>巩固东南亚、欧洲</w:t>
      </w:r>
      <w:r>
        <w:rPr>
          <w:rFonts w:hint="eastAsia" w:cs="Times New Roman"/>
          <w:color w:val="000000"/>
          <w:sz w:val="32"/>
          <w:szCs w:val="32"/>
          <w:lang w:val="en-US" w:eastAsia="zh-CN"/>
        </w:rPr>
        <w:t>等</w:t>
      </w:r>
      <w:r>
        <w:rPr>
          <w:rFonts w:cs="Times New Roman"/>
          <w:color w:val="000000"/>
          <w:sz w:val="32"/>
          <w:szCs w:val="32"/>
        </w:rPr>
        <w:t>传统市场，拓展“一带一路”沿线国家新兴市场。以高新区</w:t>
      </w:r>
      <w:r>
        <w:rPr>
          <w:rFonts w:hint="eastAsia" w:cs="Times New Roman"/>
          <w:color w:val="000000"/>
          <w:sz w:val="32"/>
          <w:szCs w:val="32"/>
        </w:rPr>
        <w:t>、</w:t>
      </w:r>
      <w:r>
        <w:rPr>
          <w:rFonts w:cs="Times New Roman"/>
          <w:color w:val="000000"/>
          <w:sz w:val="32"/>
          <w:szCs w:val="32"/>
        </w:rPr>
        <w:t>兰炭产业园区为</w:t>
      </w:r>
      <w:r>
        <w:rPr>
          <w:rFonts w:hint="eastAsia" w:cs="Times New Roman"/>
          <w:color w:val="000000"/>
          <w:sz w:val="32"/>
          <w:szCs w:val="32"/>
        </w:rPr>
        <w:t>依托</w:t>
      </w:r>
      <w:r>
        <w:rPr>
          <w:rFonts w:cs="Times New Roman"/>
          <w:color w:val="000000"/>
          <w:sz w:val="32"/>
          <w:szCs w:val="32"/>
        </w:rPr>
        <w:t>，打造国家级聚氯乙烯、金属镁及镁合金</w:t>
      </w:r>
      <w:r>
        <w:rPr>
          <w:rFonts w:hint="eastAsia" w:cs="Times New Roman"/>
          <w:color w:val="000000"/>
          <w:sz w:val="32"/>
          <w:szCs w:val="32"/>
        </w:rPr>
        <w:t>、</w:t>
      </w:r>
      <w:r>
        <w:rPr>
          <w:rFonts w:cs="Times New Roman"/>
          <w:color w:val="000000"/>
          <w:sz w:val="32"/>
          <w:szCs w:val="32"/>
        </w:rPr>
        <w:t>兰炭出口</w:t>
      </w:r>
      <w:r>
        <w:rPr>
          <w:rFonts w:hint="eastAsia" w:cs="Times New Roman"/>
          <w:color w:val="000000"/>
          <w:sz w:val="32"/>
          <w:szCs w:val="32"/>
        </w:rPr>
        <w:t>集聚地。依托</w:t>
      </w:r>
      <w:r>
        <w:rPr>
          <w:rFonts w:cs="Times New Roman"/>
          <w:color w:val="000000"/>
          <w:sz w:val="32"/>
          <w:szCs w:val="32"/>
        </w:rPr>
        <w:t>农高区</w:t>
      </w:r>
      <w:r>
        <w:rPr>
          <w:rFonts w:hint="eastAsia" w:cs="Times New Roman"/>
          <w:color w:val="000000"/>
          <w:sz w:val="32"/>
          <w:szCs w:val="32"/>
        </w:rPr>
        <w:t>，建设</w:t>
      </w:r>
      <w:r>
        <w:rPr>
          <w:rFonts w:cs="Times New Roman"/>
          <w:color w:val="000000"/>
          <w:sz w:val="32"/>
          <w:szCs w:val="32"/>
        </w:rPr>
        <w:t>特色</w:t>
      </w:r>
      <w:r>
        <w:rPr>
          <w:rFonts w:hint="eastAsia" w:cs="Times New Roman"/>
          <w:color w:val="000000"/>
          <w:sz w:val="32"/>
          <w:szCs w:val="32"/>
        </w:rPr>
        <w:t>农</w:t>
      </w:r>
      <w:r>
        <w:rPr>
          <w:rFonts w:cs="Times New Roman"/>
          <w:color w:val="000000"/>
          <w:sz w:val="32"/>
          <w:szCs w:val="32"/>
        </w:rPr>
        <w:t>产品</w:t>
      </w:r>
      <w:r>
        <w:rPr>
          <w:rFonts w:hint="eastAsia" w:cs="Times New Roman"/>
          <w:color w:val="000000"/>
          <w:sz w:val="32"/>
          <w:szCs w:val="32"/>
        </w:rPr>
        <w:t>为主的</w:t>
      </w:r>
      <w:r>
        <w:rPr>
          <w:rFonts w:cs="Times New Roman"/>
          <w:color w:val="000000"/>
          <w:sz w:val="32"/>
          <w:szCs w:val="32"/>
        </w:rPr>
        <w:t>农产品国际加工园</w:t>
      </w:r>
      <w:r>
        <w:rPr>
          <w:rFonts w:cs="Times New Roman"/>
          <w:sz w:val="32"/>
          <w:szCs w:val="32"/>
        </w:rPr>
        <w:t>。</w:t>
      </w:r>
      <w:r>
        <w:rPr>
          <w:rFonts w:cs="Times New Roman"/>
          <w:color w:val="000000"/>
          <w:sz w:val="32"/>
          <w:szCs w:val="32"/>
        </w:rPr>
        <w:t>鼓励民营企业通过资源整合、强强联合等方式抱团出海，</w:t>
      </w:r>
      <w:r>
        <w:rPr>
          <w:rFonts w:hint="eastAsia" w:cs="Times New Roman"/>
          <w:color w:val="000000"/>
          <w:sz w:val="32"/>
          <w:szCs w:val="32"/>
          <w:lang w:eastAsia="zh-CN"/>
        </w:rPr>
        <w:t>组建进出口主体，</w:t>
      </w:r>
      <w:r>
        <w:rPr>
          <w:rFonts w:hint="eastAsia" w:cs="Times New Roman"/>
          <w:color w:val="000000"/>
          <w:sz w:val="32"/>
          <w:szCs w:val="32"/>
          <w:lang w:val="en-US" w:eastAsia="zh-CN"/>
        </w:rPr>
        <w:t>探索</w:t>
      </w:r>
      <w:r>
        <w:rPr>
          <w:rFonts w:cs="Times New Roman"/>
          <w:color w:val="000000"/>
          <w:sz w:val="32"/>
          <w:szCs w:val="32"/>
        </w:rPr>
        <w:t>在马来西亚、</w:t>
      </w:r>
      <w:r>
        <w:rPr>
          <w:rFonts w:hint="eastAsia" w:cs="Times New Roman"/>
          <w:color w:val="000000"/>
          <w:sz w:val="32"/>
          <w:szCs w:val="32"/>
          <w:lang w:eastAsia="zh-CN"/>
        </w:rPr>
        <w:t>荷兰</w:t>
      </w:r>
      <w:r>
        <w:rPr>
          <w:rFonts w:cs="Times New Roman"/>
          <w:color w:val="000000"/>
          <w:sz w:val="32"/>
          <w:szCs w:val="32"/>
        </w:rPr>
        <w:t>等地建立海外仓，增强神木产品开拓、辐射和服务海外市场的能力</w:t>
      </w:r>
      <w:r>
        <w:rPr>
          <w:rFonts w:hint="eastAsia" w:cs="Times New Roman"/>
          <w:color w:val="000000"/>
          <w:sz w:val="32"/>
          <w:szCs w:val="32"/>
        </w:rPr>
        <w:t>，</w:t>
      </w:r>
      <w:r>
        <w:rPr>
          <w:rFonts w:cs="Times New Roman"/>
          <w:color w:val="000000"/>
          <w:sz w:val="32"/>
          <w:szCs w:val="32"/>
        </w:rPr>
        <w:t>提升对外贸易综合竞争力。</w:t>
      </w:r>
      <w:r>
        <w:rPr>
          <w:rFonts w:hint="eastAsia" w:cs="Times New Roman"/>
          <w:color w:val="000000"/>
          <w:sz w:val="32"/>
          <w:szCs w:val="32"/>
        </w:rPr>
        <w:t>积极争取西站物流园设立</w:t>
      </w:r>
      <w:r>
        <w:rPr>
          <w:rFonts w:hint="eastAsia" w:cs="Times New Roman"/>
          <w:color w:val="000000"/>
          <w:sz w:val="32"/>
          <w:szCs w:val="32"/>
          <w:lang w:eastAsia="zh-CN"/>
        </w:rPr>
        <w:t>保税物流中心，按照口岸基地标准建设西站中欧班列榆林副中心集结点</w:t>
      </w:r>
      <w:r>
        <w:rPr>
          <w:rFonts w:hint="eastAsia" w:cs="Times New Roman"/>
          <w:color w:val="000000"/>
          <w:sz w:val="32"/>
          <w:szCs w:val="32"/>
        </w:rPr>
        <w:t>。</w:t>
      </w:r>
      <w:r>
        <w:rPr>
          <w:rFonts w:cs="Times New Roman"/>
          <w:color w:val="000000"/>
          <w:sz w:val="32"/>
          <w:szCs w:val="32"/>
        </w:rPr>
        <w:t>利用陕煤集团神木保税仓库，推动传统外贸向线上线下相融合的跨境电商转型。</w:t>
      </w:r>
      <w:r>
        <w:rPr>
          <w:rFonts w:cs="Times New Roman"/>
          <w:sz w:val="32"/>
          <w:szCs w:val="32"/>
        </w:rPr>
        <w:t>到2025年，全市外贸进出口总额超过8亿元</w:t>
      </w:r>
      <w:r>
        <w:rPr>
          <w:rFonts w:hint="eastAsia" w:cs="Times New Roman"/>
          <w:sz w:val="32"/>
          <w:szCs w:val="32"/>
        </w:rPr>
        <w:t>，</w:t>
      </w:r>
      <w:r>
        <w:rPr>
          <w:rFonts w:cs="Times New Roman"/>
          <w:color w:val="000000"/>
          <w:sz w:val="32"/>
          <w:szCs w:val="32"/>
        </w:rPr>
        <w:t>拥有</w:t>
      </w:r>
      <w:r>
        <w:rPr>
          <w:rFonts w:hint="eastAsia" w:cs="Times New Roman"/>
          <w:color w:val="000000"/>
          <w:sz w:val="32"/>
          <w:szCs w:val="32"/>
          <w:lang w:val="en-US" w:eastAsia="zh-CN"/>
        </w:rPr>
        <w:t>自营</w:t>
      </w:r>
      <w:r>
        <w:rPr>
          <w:rFonts w:cs="Times New Roman"/>
          <w:color w:val="000000"/>
          <w:sz w:val="32"/>
          <w:szCs w:val="32"/>
        </w:rPr>
        <w:t>出口业绩的</w:t>
      </w:r>
      <w:r>
        <w:rPr>
          <w:rFonts w:hint="eastAsia" w:cs="Times New Roman"/>
          <w:color w:val="000000"/>
          <w:sz w:val="32"/>
          <w:szCs w:val="32"/>
          <w:lang w:val="en-US" w:eastAsia="zh-CN"/>
        </w:rPr>
        <w:t>企业</w:t>
      </w:r>
      <w:r>
        <w:rPr>
          <w:rFonts w:cs="Times New Roman"/>
          <w:color w:val="000000"/>
          <w:sz w:val="32"/>
          <w:szCs w:val="32"/>
        </w:rPr>
        <w:t>达到20家以上。</w:t>
      </w:r>
    </w:p>
    <w:p>
      <w:pPr>
        <w:pStyle w:val="3"/>
        <w:ind w:left="0" w:firstLine="0" w:firstLineChars="0"/>
        <w:jc w:val="center"/>
        <w:rPr>
          <w:rFonts w:hint="default" w:ascii="Times New Roman" w:hAnsi="Times New Roman" w:eastAsia="方正小标宋简体" w:cs="Times New Roman"/>
          <w:w w:val="85"/>
          <w:sz w:val="44"/>
          <w:szCs w:val="44"/>
          <w:lang w:val="en-US" w:eastAsia="zh-CN"/>
        </w:rPr>
      </w:pPr>
      <w:bookmarkStart w:id="25" w:name="_Toc19970"/>
      <w:r>
        <w:rPr>
          <w:rFonts w:ascii="Times New Roman" w:hAnsi="Times New Roman" w:eastAsia="方正小标宋简体" w:cs="Times New Roman"/>
          <w:w w:val="85"/>
          <w:sz w:val="44"/>
          <w:szCs w:val="44"/>
        </w:rPr>
        <w:t xml:space="preserve">第六章 </w:t>
      </w:r>
      <w:r>
        <w:rPr>
          <w:rFonts w:hint="eastAsia" w:ascii="Times New Roman" w:hAnsi="Times New Roman" w:eastAsia="方正小标宋简体" w:cs="Times New Roman"/>
          <w:w w:val="85"/>
          <w:sz w:val="44"/>
          <w:szCs w:val="44"/>
        </w:rPr>
        <w:t>着力补齐短板</w:t>
      </w:r>
      <w:r>
        <w:rPr>
          <w:rFonts w:ascii="Times New Roman" w:hAnsi="Times New Roman" w:eastAsia="方正小标宋简体" w:cs="Times New Roman"/>
          <w:w w:val="85"/>
          <w:sz w:val="44"/>
          <w:szCs w:val="44"/>
        </w:rPr>
        <w:t>，</w:t>
      </w:r>
      <w:r>
        <w:rPr>
          <w:rFonts w:hint="eastAsia" w:ascii="Times New Roman" w:hAnsi="Times New Roman" w:eastAsia="方正小标宋简体" w:cs="Times New Roman"/>
          <w:w w:val="85"/>
          <w:sz w:val="44"/>
          <w:szCs w:val="44"/>
          <w:lang w:val="en-US" w:eastAsia="zh-CN"/>
        </w:rPr>
        <w:t>筑牢新型化</w:t>
      </w:r>
      <w:r>
        <w:rPr>
          <w:rFonts w:hint="eastAsia" w:ascii="Times New Roman" w:hAnsi="Times New Roman" w:eastAsia="方正小标宋简体" w:cs="Times New Roman"/>
          <w:w w:val="85"/>
          <w:sz w:val="44"/>
          <w:szCs w:val="44"/>
        </w:rPr>
        <w:t>基础设施</w:t>
      </w:r>
      <w:r>
        <w:rPr>
          <w:rFonts w:hint="eastAsia" w:ascii="Times New Roman" w:hAnsi="Times New Roman" w:eastAsia="方正小标宋简体" w:cs="Times New Roman"/>
          <w:w w:val="85"/>
          <w:sz w:val="44"/>
          <w:szCs w:val="44"/>
          <w:lang w:val="en-US" w:eastAsia="zh-CN"/>
        </w:rPr>
        <w:t>新支撑</w:t>
      </w:r>
      <w:bookmarkEnd w:id="25"/>
    </w:p>
    <w:p>
      <w:pPr>
        <w:pStyle w:val="10"/>
        <w:spacing w:line="576" w:lineRule="exact"/>
        <w:ind w:firstLine="640"/>
        <w:rPr>
          <w:rFonts w:cs="Times New Roman"/>
          <w:sz w:val="32"/>
          <w:szCs w:val="32"/>
        </w:rPr>
      </w:pPr>
      <w:r>
        <w:rPr>
          <w:rFonts w:cs="Times New Roman"/>
          <w:sz w:val="32"/>
          <w:szCs w:val="32"/>
        </w:rPr>
        <w:t>以优化提升、协同融合</w:t>
      </w:r>
      <w:r>
        <w:rPr>
          <w:rFonts w:hint="eastAsia" w:cs="Times New Roman"/>
          <w:sz w:val="32"/>
          <w:szCs w:val="32"/>
        </w:rPr>
        <w:t>、补齐短板</w:t>
      </w:r>
      <w:r>
        <w:rPr>
          <w:rFonts w:cs="Times New Roman"/>
          <w:sz w:val="32"/>
          <w:szCs w:val="32"/>
        </w:rPr>
        <w:t>为导向，构建集约高效、智能绿色、安全可靠的现代综合基础设施体系。</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6" w:name="_Toc450"/>
      <w:r>
        <w:rPr>
          <w:rFonts w:hint="eastAsia" w:ascii="楷体_GB2312" w:hAnsi="楷体_GB2312" w:eastAsia="楷体_GB2312" w:cs="楷体_GB2312"/>
          <w:bCs/>
          <w:sz w:val="32"/>
          <w:szCs w:val="32"/>
        </w:rPr>
        <w:t>第一节 加快构建综合交通运输体系</w:t>
      </w:r>
      <w:bookmarkEnd w:id="26"/>
    </w:p>
    <w:p>
      <w:pPr>
        <w:spacing w:line="576" w:lineRule="exact"/>
        <w:ind w:firstLine="640"/>
        <w:jc w:val="both"/>
        <w:rPr>
          <w:rFonts w:cs="Times New Roman"/>
          <w:color w:val="000000"/>
          <w:sz w:val="32"/>
          <w:szCs w:val="32"/>
          <w:shd w:val="clear" w:color="auto" w:fill="FFFFFF"/>
        </w:rPr>
      </w:pPr>
      <w:r>
        <w:rPr>
          <w:rFonts w:cs="Times New Roman"/>
          <w:color w:val="000000"/>
          <w:sz w:val="32"/>
          <w:szCs w:val="32"/>
          <w:shd w:val="clear" w:color="auto" w:fill="FFFFFF"/>
        </w:rPr>
        <w:t>推进公、铁、空一体化发展，打造多式联运、立体高效的综合交通运输体系。</w:t>
      </w:r>
    </w:p>
    <w:p>
      <w:pPr>
        <w:spacing w:line="576" w:lineRule="exact"/>
        <w:ind w:firstLine="640"/>
        <w:jc w:val="both"/>
        <w:rPr>
          <w:rFonts w:cs="Times New Roman"/>
          <w:color w:val="000000"/>
          <w:sz w:val="32"/>
          <w:szCs w:val="32"/>
          <w:shd w:val="clear" w:color="auto" w:fill="FFFFFF"/>
        </w:rPr>
      </w:pPr>
      <w:r>
        <w:rPr>
          <w:rFonts w:cs="Times New Roman"/>
          <w:b/>
          <w:bCs/>
          <w:sz w:val="32"/>
          <w:szCs w:val="32"/>
        </w:rPr>
        <w:t>航空。</w:t>
      </w:r>
      <w:r>
        <w:rPr>
          <w:rFonts w:cs="Times New Roman"/>
          <w:color w:val="000000"/>
          <w:sz w:val="32"/>
          <w:szCs w:val="32"/>
          <w:shd w:val="clear" w:color="auto" w:fill="FFFFFF"/>
        </w:rPr>
        <w:t>建成神木通用机场，开展应急救援、短途运输、通航物流、航空旅游业务。</w:t>
      </w:r>
      <w:r>
        <w:rPr>
          <w:rFonts w:hint="eastAsia" w:cs="Times New Roman"/>
          <w:color w:val="000000"/>
          <w:sz w:val="32"/>
          <w:szCs w:val="32"/>
          <w:shd w:val="clear" w:color="auto" w:fill="FFFFFF"/>
        </w:rPr>
        <w:t>到2025年，</w:t>
      </w:r>
      <w:r>
        <w:rPr>
          <w:rFonts w:hint="eastAsia" w:cs="Times New Roman"/>
          <w:color w:val="000000"/>
          <w:sz w:val="32"/>
          <w:szCs w:val="32"/>
          <w:shd w:val="clear" w:color="auto" w:fill="FFFFFF"/>
          <w:lang w:eastAsia="zh-CN"/>
        </w:rPr>
        <w:t>实现飞行</w:t>
      </w:r>
      <w:r>
        <w:rPr>
          <w:rFonts w:hint="eastAsia" w:cs="Times New Roman"/>
          <w:color w:val="000000"/>
          <w:sz w:val="32"/>
          <w:szCs w:val="32"/>
          <w:shd w:val="clear" w:color="auto" w:fill="FFFFFF"/>
          <w:lang w:val="en-US" w:eastAsia="zh-CN"/>
        </w:rPr>
        <w:t>1400</w:t>
      </w:r>
      <w:r>
        <w:rPr>
          <w:rFonts w:hint="eastAsia" w:cs="Times New Roman"/>
          <w:color w:val="000000"/>
          <w:sz w:val="32"/>
          <w:szCs w:val="32"/>
          <w:shd w:val="clear" w:color="auto" w:fill="FFFFFF"/>
          <w:lang w:eastAsia="zh-CN"/>
        </w:rPr>
        <w:t>架次</w:t>
      </w:r>
      <w:r>
        <w:rPr>
          <w:rFonts w:hint="eastAsia" w:cs="Times New Roman"/>
          <w:color w:val="000000"/>
          <w:sz w:val="32"/>
          <w:szCs w:val="32"/>
          <w:shd w:val="clear" w:color="auto" w:fill="FFFFFF"/>
          <w:lang w:val="en-US" w:eastAsia="zh-CN"/>
        </w:rPr>
        <w:t>/年</w:t>
      </w:r>
      <w:r>
        <w:rPr>
          <w:rFonts w:hint="eastAsia" w:cs="Times New Roman"/>
          <w:color w:val="000000"/>
          <w:sz w:val="32"/>
          <w:szCs w:val="32"/>
          <w:shd w:val="clear" w:color="auto" w:fill="FFFFFF"/>
        </w:rPr>
        <w:t>。</w:t>
      </w:r>
    </w:p>
    <w:p>
      <w:pPr>
        <w:spacing w:line="576" w:lineRule="exact"/>
        <w:ind w:firstLine="640"/>
        <w:jc w:val="both"/>
        <w:rPr>
          <w:rFonts w:cs="Times New Roman"/>
          <w:color w:val="000000"/>
          <w:sz w:val="32"/>
          <w:szCs w:val="32"/>
          <w:shd w:val="clear" w:color="auto" w:fill="FFFFFF"/>
        </w:rPr>
      </w:pPr>
      <w:r>
        <w:rPr>
          <w:rFonts w:cs="Times New Roman"/>
          <w:b/>
          <w:bCs/>
          <w:sz w:val="32"/>
          <w:szCs w:val="32"/>
        </w:rPr>
        <w:t>铁路。</w:t>
      </w:r>
      <w:r>
        <w:rPr>
          <w:rFonts w:cs="Times New Roman"/>
          <w:color w:val="000000"/>
          <w:sz w:val="32"/>
          <w:szCs w:val="32"/>
          <w:shd w:val="clear" w:color="auto" w:fill="FFFFFF"/>
        </w:rPr>
        <w:t>开工建设延榆鄂高铁神木段，推动</w:t>
      </w:r>
      <w:r>
        <w:rPr>
          <w:rFonts w:hint="eastAsia" w:cs="Times New Roman"/>
          <w:color w:val="000000"/>
          <w:sz w:val="32"/>
          <w:szCs w:val="32"/>
          <w:shd w:val="clear" w:color="auto" w:fill="FFFFFF"/>
          <w:lang w:val="en-US" w:eastAsia="zh-CN"/>
        </w:rPr>
        <w:t>神延</w:t>
      </w:r>
      <w:r>
        <w:rPr>
          <w:rFonts w:cs="Times New Roman"/>
          <w:color w:val="000000"/>
          <w:sz w:val="32"/>
          <w:szCs w:val="32"/>
          <w:shd w:val="clear" w:color="auto" w:fill="FFFFFF"/>
        </w:rPr>
        <w:t>动车</w:t>
      </w:r>
      <w:r>
        <w:rPr>
          <w:rFonts w:hint="eastAsia" w:cs="Times New Roman"/>
          <w:color w:val="000000"/>
          <w:sz w:val="32"/>
          <w:szCs w:val="32"/>
          <w:shd w:val="clear" w:color="auto" w:fill="FFFFFF"/>
          <w:lang w:val="en-US" w:eastAsia="zh-CN"/>
        </w:rPr>
        <w:t>提速</w:t>
      </w:r>
      <w:r>
        <w:rPr>
          <w:rFonts w:cs="Times New Roman"/>
          <w:color w:val="000000"/>
          <w:sz w:val="32"/>
          <w:szCs w:val="32"/>
          <w:shd w:val="clear" w:color="auto" w:fill="FFFFFF"/>
        </w:rPr>
        <w:t>，</w:t>
      </w:r>
      <w:r>
        <w:rPr>
          <w:rFonts w:hint="eastAsia" w:cs="Times New Roman"/>
          <w:color w:val="000000"/>
          <w:sz w:val="32"/>
          <w:szCs w:val="32"/>
          <w:shd w:val="clear" w:color="auto" w:fill="FFFFFF"/>
        </w:rPr>
        <w:t>启动</w:t>
      </w:r>
      <w:r>
        <w:rPr>
          <w:rFonts w:cs="Times New Roman"/>
          <w:color w:val="000000"/>
          <w:sz w:val="32"/>
          <w:szCs w:val="32"/>
          <w:shd w:val="clear" w:color="auto" w:fill="FFFFFF"/>
        </w:rPr>
        <w:t>榆神府城际铁路</w:t>
      </w:r>
      <w:r>
        <w:rPr>
          <w:rFonts w:hint="eastAsia" w:cs="Times New Roman"/>
          <w:color w:val="000000"/>
          <w:sz w:val="32"/>
          <w:szCs w:val="32"/>
          <w:shd w:val="clear" w:color="auto" w:fill="FFFFFF"/>
        </w:rPr>
        <w:t>建设</w:t>
      </w:r>
      <w:r>
        <w:rPr>
          <w:rFonts w:cs="Times New Roman"/>
          <w:color w:val="000000"/>
          <w:sz w:val="32"/>
          <w:szCs w:val="32"/>
          <w:shd w:val="clear" w:color="auto" w:fill="FFFFFF"/>
        </w:rPr>
        <w:t>。积极争取</w:t>
      </w:r>
      <w:r>
        <w:rPr>
          <w:rFonts w:cs="Times New Roman"/>
          <w:color w:val="000000"/>
          <w:sz w:val="32"/>
          <w:szCs w:val="32"/>
        </w:rPr>
        <w:t>京银新通道忻榆银高铁过境神木。</w:t>
      </w:r>
      <w:r>
        <w:rPr>
          <w:rFonts w:hint="eastAsia" w:cs="Times New Roman"/>
          <w:color w:val="000000"/>
          <w:sz w:val="32"/>
          <w:szCs w:val="32"/>
          <w:shd w:val="clear" w:color="auto" w:fill="FFFFFF"/>
        </w:rPr>
        <w:t>建成</w:t>
      </w:r>
      <w:r>
        <w:rPr>
          <w:rFonts w:cs="Times New Roman"/>
          <w:color w:val="000000"/>
          <w:sz w:val="32"/>
          <w:szCs w:val="32"/>
          <w:shd w:val="clear" w:color="auto" w:fill="FFFFFF"/>
        </w:rPr>
        <w:t>冯红铁路</w:t>
      </w:r>
      <w:r>
        <w:rPr>
          <w:rFonts w:cs="Times New Roman"/>
          <w:bCs/>
          <w:color w:val="000000"/>
          <w:sz w:val="32"/>
          <w:szCs w:val="32"/>
        </w:rPr>
        <w:t>，开辟西煤东运新通道</w:t>
      </w:r>
      <w:r>
        <w:rPr>
          <w:rFonts w:cs="Times New Roman"/>
          <w:color w:val="000000"/>
          <w:sz w:val="32"/>
          <w:szCs w:val="32"/>
          <w:shd w:val="clear" w:color="auto" w:fill="FFFFFF"/>
        </w:rPr>
        <w:t>。到2025年，形成“两横四纵三支”铁路网，全市干线、支线铁路营</w:t>
      </w:r>
      <w:r>
        <w:rPr>
          <w:rFonts w:hint="eastAsia" w:cs="Times New Roman"/>
          <w:color w:val="000000"/>
          <w:sz w:val="32"/>
          <w:szCs w:val="32"/>
          <w:shd w:val="clear" w:color="auto" w:fill="FFFFFF"/>
        </w:rPr>
        <w:t>运</w:t>
      </w:r>
      <w:r>
        <w:rPr>
          <w:rFonts w:cs="Times New Roman"/>
          <w:color w:val="000000"/>
          <w:sz w:val="32"/>
          <w:szCs w:val="32"/>
          <w:shd w:val="clear" w:color="auto" w:fill="FFFFFF"/>
        </w:rPr>
        <w:t>里程达712 公里，铁路复线率和电化率均达到50%以上。</w:t>
      </w:r>
    </w:p>
    <w:p>
      <w:pPr>
        <w:spacing w:line="576" w:lineRule="exact"/>
        <w:ind w:firstLine="640"/>
        <w:jc w:val="both"/>
        <w:rPr>
          <w:rFonts w:cs="Times New Roman"/>
          <w:color w:val="000000"/>
          <w:sz w:val="32"/>
          <w:szCs w:val="32"/>
          <w:shd w:val="clear" w:color="auto" w:fill="FFFFFF"/>
        </w:rPr>
      </w:pPr>
      <w:r>
        <w:rPr>
          <w:rFonts w:cs="Times New Roman"/>
          <w:b/>
          <w:bCs/>
          <w:sz w:val="32"/>
          <w:szCs w:val="32"/>
        </w:rPr>
        <w:t>公路。</w:t>
      </w:r>
      <w:r>
        <w:rPr>
          <w:rFonts w:cs="Times New Roman"/>
          <w:color w:val="000000"/>
          <w:sz w:val="32"/>
          <w:szCs w:val="32"/>
          <w:shd w:val="clear" w:color="auto" w:fill="FFFFFF"/>
        </w:rPr>
        <w:t>新建大柳塔至锦界高速公路，形成“东、东北、东南、西北、西”五向高速公路对外运输通道。加</w:t>
      </w:r>
      <w:r>
        <w:rPr>
          <w:rFonts w:hint="eastAsia" w:cs="Times New Roman"/>
          <w:color w:val="000000"/>
          <w:sz w:val="32"/>
          <w:szCs w:val="32"/>
          <w:shd w:val="clear" w:color="auto" w:fill="FFFFFF"/>
        </w:rPr>
        <w:t>快</w:t>
      </w:r>
      <w:r>
        <w:rPr>
          <w:rFonts w:cs="Times New Roman"/>
          <w:color w:val="000000"/>
          <w:sz w:val="32"/>
          <w:szCs w:val="32"/>
          <w:shd w:val="clear" w:color="auto" w:fill="FFFFFF"/>
        </w:rPr>
        <w:t>国省干线公路提档升级，推进大石、</w:t>
      </w:r>
      <w:r>
        <w:rPr>
          <w:rFonts w:hint="eastAsia" w:cs="Times New Roman"/>
          <w:color w:val="000000"/>
          <w:sz w:val="32"/>
          <w:szCs w:val="32"/>
          <w:shd w:val="clear" w:color="auto" w:fill="FFFFFF"/>
          <w:lang w:eastAsia="zh-CN"/>
        </w:rPr>
        <w:t>神柳、</w:t>
      </w:r>
      <w:r>
        <w:rPr>
          <w:rFonts w:cs="Times New Roman"/>
          <w:color w:val="000000"/>
          <w:sz w:val="32"/>
          <w:szCs w:val="32"/>
          <w:shd w:val="clear" w:color="auto" w:fill="FFFFFF"/>
        </w:rPr>
        <w:t>神盘等</w:t>
      </w:r>
      <w:r>
        <w:rPr>
          <w:rFonts w:hint="eastAsia" w:cs="Times New Roman"/>
          <w:color w:val="000000"/>
          <w:sz w:val="32"/>
          <w:szCs w:val="32"/>
          <w:shd w:val="clear" w:color="auto" w:fill="FFFFFF"/>
        </w:rPr>
        <w:t>一级</w:t>
      </w:r>
      <w:r>
        <w:rPr>
          <w:rFonts w:cs="Times New Roman"/>
          <w:color w:val="000000"/>
          <w:sz w:val="32"/>
          <w:szCs w:val="32"/>
          <w:shd w:val="clear" w:color="auto" w:fill="FFFFFF"/>
        </w:rPr>
        <w:t>公路改扩建，畅通外出通道。新建神木至石峁</w:t>
      </w:r>
      <w:r>
        <w:rPr>
          <w:rFonts w:hint="eastAsia" w:cs="Times New Roman"/>
          <w:color w:val="000000"/>
          <w:sz w:val="32"/>
          <w:szCs w:val="32"/>
          <w:shd w:val="clear" w:color="auto" w:fill="FFFFFF"/>
        </w:rPr>
        <w:t>、神木至花石崖等道路</w:t>
      </w:r>
      <w:r>
        <w:rPr>
          <w:rFonts w:cs="Times New Roman"/>
          <w:color w:val="000000"/>
          <w:sz w:val="32"/>
          <w:szCs w:val="32"/>
          <w:shd w:val="clear" w:color="auto" w:fill="FFFFFF"/>
        </w:rPr>
        <w:t>，</w:t>
      </w:r>
      <w:r>
        <w:rPr>
          <w:rFonts w:hint="eastAsia" w:cs="Times New Roman"/>
          <w:color w:val="000000"/>
          <w:sz w:val="32"/>
          <w:szCs w:val="32"/>
          <w:shd w:val="clear" w:color="auto" w:fill="FFFFFF"/>
        </w:rPr>
        <w:t>优化</w:t>
      </w:r>
      <w:r>
        <w:rPr>
          <w:rFonts w:cs="Times New Roman"/>
          <w:color w:val="000000"/>
          <w:sz w:val="32"/>
          <w:szCs w:val="32"/>
          <w:shd w:val="clear" w:color="auto" w:fill="FFFFFF"/>
        </w:rPr>
        <w:t>提升</w:t>
      </w:r>
      <w:r>
        <w:rPr>
          <w:rFonts w:hint="eastAsia" w:cs="Times New Roman"/>
          <w:color w:val="000000"/>
          <w:sz w:val="32"/>
          <w:szCs w:val="32"/>
          <w:shd w:val="clear" w:color="auto" w:fill="FFFFFF"/>
        </w:rPr>
        <w:t>全市</w:t>
      </w:r>
      <w:r>
        <w:rPr>
          <w:rFonts w:cs="Times New Roman"/>
          <w:color w:val="000000"/>
          <w:sz w:val="32"/>
          <w:szCs w:val="32"/>
          <w:shd w:val="clear" w:color="auto" w:fill="FFFFFF"/>
        </w:rPr>
        <w:t>路网</w:t>
      </w:r>
      <w:r>
        <w:rPr>
          <w:rFonts w:hint="eastAsia" w:cs="Times New Roman"/>
          <w:color w:val="000000"/>
          <w:sz w:val="32"/>
          <w:szCs w:val="32"/>
          <w:shd w:val="clear" w:color="auto" w:fill="FFFFFF"/>
        </w:rPr>
        <w:t>布局</w:t>
      </w:r>
      <w:r>
        <w:rPr>
          <w:rFonts w:cs="Times New Roman"/>
          <w:color w:val="000000"/>
          <w:sz w:val="32"/>
          <w:szCs w:val="32"/>
          <w:shd w:val="clear" w:color="auto" w:fill="FFFFFF"/>
        </w:rPr>
        <w:t>，形成“两横两纵一连一环”市域骨架支线公路。到2025年，国省干线公路通车里程达</w:t>
      </w:r>
      <w:r>
        <w:rPr>
          <w:rFonts w:hint="eastAsia" w:cs="Times New Roman"/>
          <w:color w:val="000000"/>
          <w:sz w:val="32"/>
          <w:szCs w:val="32"/>
          <w:shd w:val="clear" w:color="auto" w:fill="FFFFFF"/>
          <w:lang w:eastAsia="zh-CN"/>
        </w:rPr>
        <w:t>到</w:t>
      </w:r>
      <w:r>
        <w:rPr>
          <w:rFonts w:cs="Times New Roman"/>
          <w:color w:val="000000"/>
          <w:sz w:val="32"/>
          <w:szCs w:val="32"/>
          <w:shd w:val="clear" w:color="auto" w:fill="FFFFFF"/>
        </w:rPr>
        <w:t>715.5公里，高速公路通车里程达到230公里。</w:t>
      </w:r>
    </w:p>
    <w:p>
      <w:pPr>
        <w:spacing w:line="576" w:lineRule="exact"/>
        <w:ind w:firstLine="640"/>
        <w:rPr>
          <w:rFonts w:cs="Times New Roman"/>
          <w:color w:val="000000"/>
          <w:sz w:val="32"/>
          <w:szCs w:val="32"/>
          <w:shd w:val="clear" w:color="auto" w:fill="FFFFFF"/>
        </w:rPr>
      </w:pPr>
      <w:r>
        <w:rPr>
          <w:rFonts w:cs="Times New Roman"/>
          <w:b/>
          <w:bCs/>
          <w:sz w:val="32"/>
          <w:szCs w:val="32"/>
        </w:rPr>
        <w:t>水运。</w:t>
      </w:r>
      <w:r>
        <w:rPr>
          <w:rFonts w:cs="Times New Roman"/>
          <w:color w:val="000000"/>
          <w:sz w:val="32"/>
          <w:szCs w:val="32"/>
          <w:shd w:val="clear" w:color="auto" w:fill="FFFFFF"/>
        </w:rPr>
        <w:t>升级改造黄河沿线</w:t>
      </w:r>
      <w:r>
        <w:rPr>
          <w:rFonts w:hint="eastAsia" w:cs="Times New Roman"/>
          <w:color w:val="000000"/>
          <w:sz w:val="32"/>
          <w:szCs w:val="32"/>
          <w:shd w:val="clear" w:color="auto" w:fill="FFFFFF"/>
        </w:rPr>
        <w:t>、景区等</w:t>
      </w:r>
      <w:r>
        <w:rPr>
          <w:rFonts w:cs="Times New Roman"/>
          <w:color w:val="000000"/>
          <w:sz w:val="32"/>
          <w:szCs w:val="32"/>
          <w:shd w:val="clear" w:color="auto" w:fill="FFFFFF"/>
        </w:rPr>
        <w:t>水运码头渡口。</w:t>
      </w:r>
    </w:p>
    <w:p>
      <w:pPr>
        <w:spacing w:line="576" w:lineRule="exact"/>
        <w:ind w:firstLine="640"/>
        <w:rPr>
          <w:rFonts w:cs="Times New Roman"/>
          <w:color w:val="000000"/>
          <w:sz w:val="32"/>
          <w:szCs w:val="32"/>
          <w:shd w:val="clear" w:color="auto" w:fill="FFFFFF"/>
        </w:rPr>
      </w:pPr>
      <w:r>
        <w:rPr>
          <w:rFonts w:cs="Times New Roman"/>
          <w:b/>
          <w:bCs/>
          <w:sz w:val="32"/>
          <w:szCs w:val="32"/>
        </w:rPr>
        <w:t>邮政。</w:t>
      </w:r>
      <w:r>
        <w:rPr>
          <w:rFonts w:cs="Times New Roman"/>
          <w:color w:val="000000"/>
          <w:sz w:val="32"/>
          <w:szCs w:val="32"/>
          <w:shd w:val="clear" w:color="auto" w:fill="FFFFFF"/>
        </w:rPr>
        <w:t>到2025年，全市邮政网点实现中心村全覆盖。</w:t>
      </w:r>
    </w:p>
    <w:p>
      <w:pPr>
        <w:spacing w:line="576" w:lineRule="exact"/>
        <w:ind w:firstLine="640"/>
        <w:rPr>
          <w:rFonts w:cs="Times New Roman"/>
        </w:rPr>
      </w:pPr>
      <w:r>
        <w:rPr>
          <w:rFonts w:cs="Times New Roman"/>
          <w:b/>
          <w:bCs/>
          <w:sz w:val="32"/>
          <w:szCs w:val="32"/>
        </w:rPr>
        <w:t>公交。</w:t>
      </w:r>
      <w:r>
        <w:rPr>
          <w:rFonts w:cs="Times New Roman"/>
          <w:color w:val="000000"/>
          <w:sz w:val="32"/>
          <w:szCs w:val="32"/>
          <w:shd w:val="clear" w:color="auto" w:fill="FFFFFF"/>
        </w:rPr>
        <w:t>推进城市</w:t>
      </w:r>
      <w:r>
        <w:rPr>
          <w:rFonts w:hint="eastAsia" w:cs="Times New Roman"/>
          <w:color w:val="000000"/>
          <w:sz w:val="32"/>
          <w:szCs w:val="32"/>
          <w:shd w:val="clear" w:color="auto" w:fill="FFFFFF"/>
        </w:rPr>
        <w:t>公共交通</w:t>
      </w:r>
      <w:r>
        <w:rPr>
          <w:rFonts w:cs="Times New Roman"/>
          <w:color w:val="000000"/>
          <w:sz w:val="32"/>
          <w:szCs w:val="32"/>
          <w:shd w:val="clear" w:color="auto" w:fill="FFFFFF"/>
        </w:rPr>
        <w:t>向近郊镇街、农村地区延伸，</w:t>
      </w:r>
      <w:r>
        <w:rPr>
          <w:rFonts w:cs="Times New Roman"/>
          <w:sz w:val="32"/>
          <w:szCs w:val="32"/>
        </w:rPr>
        <w:t>形成以城区为中心，辐射周边镇街的公共交通便捷网络，</w:t>
      </w:r>
      <w:r>
        <w:rPr>
          <w:rFonts w:cs="Times New Roman"/>
          <w:color w:val="000000"/>
          <w:sz w:val="32"/>
          <w:szCs w:val="32"/>
          <w:shd w:val="clear" w:color="auto" w:fill="FFFFFF"/>
        </w:rPr>
        <w:t>“十四五”期间新增公交车90辆。</w:t>
      </w:r>
    </w:p>
    <w:tbl>
      <w:tblPr>
        <w:tblStyle w:val="25"/>
        <w:tblW w:w="0" w:type="auto"/>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trPr>
        <w:tc>
          <w:tcPr>
            <w:tcW w:w="8359" w:type="dxa"/>
            <w:shd w:val="clear" w:color="auto" w:fill="auto"/>
          </w:tcPr>
          <w:p>
            <w:pPr>
              <w:spacing w:line="520" w:lineRule="exact"/>
              <w:ind w:firstLine="0" w:firstLineChars="0"/>
              <w:jc w:val="left"/>
              <w:rPr>
                <w:rFonts w:hint="eastAsia" w:ascii="黑体" w:hAnsi="黑体" w:eastAsia="黑体" w:cs="黑体"/>
                <w:sz w:val="24"/>
                <w:szCs w:val="24"/>
              </w:rPr>
            </w:pPr>
            <w:r>
              <w:rPr>
                <w:rFonts w:hint="eastAsia" w:ascii="黑体" w:hAnsi="黑体" w:eastAsia="黑体" w:cs="黑体"/>
                <w:sz w:val="24"/>
                <w:szCs w:val="24"/>
              </w:rPr>
              <w:t>专栏</w:t>
            </w:r>
            <w:r>
              <w:rPr>
                <w:rFonts w:hint="eastAsia" w:ascii="黑体" w:hAnsi="黑体" w:eastAsia="黑体" w:cs="黑体"/>
                <w:sz w:val="24"/>
                <w:szCs w:val="24"/>
                <w:lang w:val="en-US" w:eastAsia="zh-CN"/>
              </w:rPr>
              <w:t>9</w:t>
            </w:r>
            <w:r>
              <w:rPr>
                <w:rFonts w:hint="eastAsia" w:ascii="黑体" w:hAnsi="黑体" w:eastAsia="黑体" w:cs="黑体"/>
                <w:sz w:val="24"/>
                <w:szCs w:val="24"/>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黑体" w:hAnsi="黑体" w:eastAsia="黑体" w:cs="黑体"/>
              </w:rPr>
            </w:pPr>
            <w:r>
              <w:rPr>
                <w:rFonts w:hint="eastAsia" w:ascii="黑体" w:hAnsi="黑体" w:eastAsia="黑体" w:cs="黑体"/>
              </w:rPr>
              <w:t>“十四五”交通建设重大工程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高速铁路：</w:t>
            </w:r>
            <w:r>
              <w:rPr>
                <w:rFonts w:hint="eastAsia" w:ascii="仿宋_GB2312" w:hAnsi="仿宋_GB2312" w:eastAsia="仿宋_GB2312" w:cs="仿宋_GB2312"/>
                <w:sz w:val="24"/>
                <w:szCs w:val="24"/>
              </w:rPr>
              <w:t>延榆鄂高铁神木段、高铁榆神府城际铁路；</w:t>
            </w:r>
            <w:r>
              <w:rPr>
                <w:rFonts w:hint="eastAsia" w:ascii="仿宋_GB2312" w:hAnsi="仿宋_GB2312" w:cs="仿宋_GB2312"/>
                <w:sz w:val="24"/>
                <w:szCs w:val="24"/>
                <w:lang w:val="en-US" w:eastAsia="zh-CN"/>
              </w:rPr>
              <w:t>神延</w:t>
            </w:r>
            <w:r>
              <w:rPr>
                <w:rFonts w:hint="eastAsia" w:ascii="仿宋_GB2312" w:hAnsi="仿宋_GB2312" w:eastAsia="仿宋_GB2312" w:cs="仿宋_GB2312"/>
                <w:sz w:val="24"/>
                <w:szCs w:val="24"/>
              </w:rPr>
              <w:t>动车</w:t>
            </w:r>
            <w:r>
              <w:rPr>
                <w:rFonts w:hint="eastAsia" w:ascii="仿宋_GB2312" w:hAnsi="仿宋_GB2312" w:cs="仿宋_GB2312"/>
                <w:sz w:val="24"/>
                <w:szCs w:val="24"/>
                <w:lang w:val="en-US" w:eastAsia="zh-CN"/>
              </w:rPr>
              <w:t>提速</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支线铁路：</w:t>
            </w:r>
            <w:r>
              <w:rPr>
                <w:rFonts w:hint="eastAsia" w:ascii="仿宋_GB2312" w:hAnsi="仿宋_GB2312" w:eastAsia="仿宋_GB2312" w:cs="仿宋_GB2312"/>
                <w:sz w:val="24"/>
                <w:szCs w:val="24"/>
              </w:rPr>
              <w:t>冯红铁路</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高速公路：</w:t>
            </w:r>
            <w:r>
              <w:rPr>
                <w:rFonts w:hint="eastAsia" w:ascii="仿宋_GB2312" w:hAnsi="仿宋_GB2312" w:eastAsia="仿宋_GB2312" w:cs="仿宋_GB2312"/>
                <w:sz w:val="24"/>
                <w:szCs w:val="24"/>
              </w:rPr>
              <w:t>新建大柳塔至锦界高速公路</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干线公路：</w:t>
            </w:r>
            <w:r>
              <w:rPr>
                <w:rFonts w:hint="eastAsia" w:ascii="仿宋_GB2312" w:hAnsi="仿宋_GB2312" w:eastAsia="仿宋_GB2312" w:cs="仿宋_GB2312"/>
                <w:sz w:val="24"/>
                <w:szCs w:val="24"/>
              </w:rPr>
              <w:t>大石一级郭家湾至敏盖兔、神木至盘塘、锦界过境、黄特老害至中鸡等国道干线；</w:t>
            </w:r>
            <w:r>
              <w:rPr>
                <w:rFonts w:hint="eastAsia" w:ascii="仿宋_GB2312" w:hAnsi="仿宋_GB2312" w:cs="仿宋_GB2312"/>
                <w:sz w:val="24"/>
                <w:szCs w:val="24"/>
                <w:lang w:val="en-US" w:eastAsia="zh-CN"/>
              </w:rPr>
              <w:t>神木至大柳塔快速通道，</w:t>
            </w:r>
            <w:r>
              <w:rPr>
                <w:rFonts w:hint="eastAsia" w:ascii="仿宋_GB2312" w:hAnsi="仿宋_GB2312" w:eastAsia="仿宋_GB2312" w:cs="仿宋_GB2312"/>
                <w:sz w:val="24"/>
                <w:szCs w:val="24"/>
              </w:rPr>
              <w:t>神木至马镇、沙峁至贺家川、大柳塔至中鸡、高家堡至凉水井等省道干线公路；凉水井-河口岔、</w:t>
            </w:r>
            <w:r>
              <w:rPr>
                <w:rFonts w:hint="eastAsia" w:ascii="仿宋_GB2312" w:hAnsi="仿宋_GB2312" w:cs="仿宋_GB2312"/>
                <w:sz w:val="24"/>
                <w:szCs w:val="24"/>
                <w:lang w:eastAsia="zh-CN"/>
              </w:rPr>
              <w:t>神木—花石崖、</w:t>
            </w:r>
            <w:r>
              <w:rPr>
                <w:rFonts w:hint="eastAsia" w:ascii="仿宋_GB2312" w:hAnsi="仿宋_GB2312" w:eastAsia="仿宋_GB2312" w:cs="仿宋_GB2312"/>
                <w:sz w:val="24"/>
                <w:szCs w:val="24"/>
              </w:rPr>
              <w:t>石板太-沟掌、石窑店-郭家湾、韩家窑洼-万镇、大柳塔-石圪台、黄家梁-石壑则等县乡公路</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旅游公路、产业公路：</w:t>
            </w:r>
            <w:r>
              <w:rPr>
                <w:rFonts w:hint="eastAsia" w:ascii="仿宋_GB2312" w:hAnsi="仿宋_GB2312" w:eastAsia="仿宋_GB2312" w:cs="仿宋_GB2312"/>
                <w:sz w:val="24"/>
                <w:szCs w:val="24"/>
              </w:rPr>
              <w:t>神木至石峁、马家滩至大河塔公路</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红柳林至柠条塔、赵家梁至平梁寺、马镇至大保当、杨伙盘至柳树峁、西站至农业高新技术产业园区、孙家岔水井湾至大柳塔李家畔、崔家沟煤矿至柠条塔</w:t>
            </w:r>
            <w:r>
              <w:rPr>
                <w:rFonts w:hint="eastAsia" w:ascii="仿宋_GB2312" w:hAnsi="仿宋_GB2312" w:cs="仿宋_GB2312"/>
                <w:sz w:val="24"/>
                <w:szCs w:val="24"/>
                <w:lang w:eastAsia="zh-CN"/>
              </w:rPr>
              <w:t>公路。</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铁路交通枢纽：</w:t>
            </w:r>
            <w:r>
              <w:rPr>
                <w:rFonts w:hint="eastAsia" w:ascii="仿宋_GB2312" w:hAnsi="仿宋_GB2312" w:eastAsia="仿宋_GB2312" w:cs="仿宋_GB2312"/>
                <w:sz w:val="24"/>
                <w:szCs w:val="24"/>
              </w:rPr>
              <w:t>包西铁路神木站、神木北站、神木西站、大保当站</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cs="Times New Roman"/>
                <w:b/>
                <w:bCs/>
                <w:sz w:val="32"/>
                <w:szCs w:val="32"/>
              </w:rPr>
            </w:pPr>
            <w:r>
              <w:rPr>
                <w:rFonts w:hint="eastAsia" w:ascii="楷体_GB2312" w:hAnsi="楷体_GB2312" w:eastAsia="楷体_GB2312" w:cs="楷体_GB2312"/>
                <w:b/>
                <w:bCs/>
                <w:sz w:val="24"/>
                <w:szCs w:val="24"/>
              </w:rPr>
              <w:t>水运码头：</w:t>
            </w:r>
            <w:r>
              <w:rPr>
                <w:rFonts w:hint="eastAsia" w:ascii="仿宋_GB2312" w:hAnsi="仿宋_GB2312" w:eastAsia="仿宋_GB2312" w:cs="仿宋_GB2312"/>
                <w:sz w:val="24"/>
                <w:szCs w:val="24"/>
              </w:rPr>
              <w:t>红碱淖码头、马镇合河码头、马镇垒沟码头、万镇张家川码头、 万镇西豆峪码头。</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7" w:name="_Toc25529"/>
      <w:r>
        <w:rPr>
          <w:rFonts w:hint="eastAsia" w:ascii="楷体_GB2312" w:hAnsi="楷体_GB2312" w:eastAsia="楷体_GB2312" w:cs="楷体_GB2312"/>
          <w:bCs/>
          <w:sz w:val="32"/>
          <w:szCs w:val="32"/>
        </w:rPr>
        <w:t>第二节 提升水资源保障能力</w:t>
      </w:r>
      <w:bookmarkEnd w:id="27"/>
    </w:p>
    <w:p>
      <w:pPr>
        <w:pStyle w:val="10"/>
        <w:spacing w:line="576" w:lineRule="exact"/>
        <w:ind w:firstLine="640"/>
        <w:jc w:val="both"/>
        <w:rPr>
          <w:rFonts w:cs="Times New Roman"/>
          <w:color w:val="000000"/>
          <w:sz w:val="32"/>
          <w:szCs w:val="32"/>
          <w:shd w:val="clear" w:color="auto" w:fill="FFFFFF"/>
        </w:rPr>
      </w:pPr>
      <w:r>
        <w:rPr>
          <w:rFonts w:cs="Times New Roman"/>
          <w:color w:val="000000"/>
          <w:sz w:val="32"/>
          <w:szCs w:val="32"/>
          <w:shd w:val="clear" w:color="auto" w:fill="FFFFFF"/>
        </w:rPr>
        <w:t>按照“</w:t>
      </w:r>
      <w:r>
        <w:rPr>
          <w:rFonts w:hint="eastAsia" w:cs="Times New Roman"/>
          <w:color w:val="000000"/>
          <w:sz w:val="32"/>
          <w:szCs w:val="32"/>
          <w:shd w:val="clear" w:color="auto" w:fill="FFFFFF"/>
          <w:lang w:val="en-US" w:eastAsia="zh-CN"/>
        </w:rPr>
        <w:t>全域治水、</w:t>
      </w:r>
      <w:r>
        <w:rPr>
          <w:rFonts w:hint="eastAsia" w:cs="Times New Roman"/>
          <w:color w:val="000000"/>
          <w:sz w:val="32"/>
          <w:szCs w:val="32"/>
          <w:shd w:val="clear" w:color="auto" w:fill="FFFFFF"/>
        </w:rPr>
        <w:t>节约集约</w:t>
      </w:r>
      <w:r>
        <w:rPr>
          <w:rFonts w:hint="eastAsia" w:cs="Times New Roman"/>
          <w:color w:val="000000"/>
          <w:sz w:val="32"/>
          <w:szCs w:val="32"/>
          <w:shd w:val="clear" w:color="auto" w:fill="FFFFFF"/>
          <w:lang w:eastAsia="zh-CN"/>
        </w:rPr>
        <w:t>、</w:t>
      </w:r>
      <w:r>
        <w:rPr>
          <w:rFonts w:cs="Times New Roman"/>
          <w:color w:val="000000"/>
          <w:sz w:val="32"/>
          <w:szCs w:val="32"/>
          <w:shd w:val="clear" w:color="auto" w:fill="FFFFFF"/>
        </w:rPr>
        <w:t>外引内调、强化保护、安全用水”思路，布局重大引水、城乡供水</w:t>
      </w:r>
      <w:r>
        <w:rPr>
          <w:rFonts w:hint="eastAsia" w:cs="Times New Roman"/>
          <w:color w:val="000000"/>
          <w:sz w:val="32"/>
          <w:szCs w:val="32"/>
          <w:shd w:val="clear" w:color="auto" w:fill="FFFFFF"/>
          <w:lang w:eastAsia="zh-CN"/>
        </w:rPr>
        <w:t>和</w:t>
      </w:r>
      <w:r>
        <w:rPr>
          <w:rFonts w:cs="Times New Roman"/>
          <w:color w:val="000000"/>
          <w:sz w:val="32"/>
          <w:szCs w:val="32"/>
          <w:shd w:val="clear" w:color="auto" w:fill="FFFFFF"/>
        </w:rPr>
        <w:t>非常规用水等工程，增强水资源调配和保障能力。</w:t>
      </w:r>
    </w:p>
    <w:p>
      <w:pPr>
        <w:pStyle w:val="10"/>
        <w:spacing w:line="576" w:lineRule="exact"/>
        <w:ind w:firstLine="640"/>
        <w:jc w:val="both"/>
        <w:rPr>
          <w:rFonts w:cs="Times New Roman"/>
          <w:color w:val="000000"/>
          <w:sz w:val="32"/>
          <w:szCs w:val="32"/>
          <w:shd w:val="clear" w:color="auto" w:fill="FFFFFF"/>
        </w:rPr>
      </w:pPr>
      <w:r>
        <w:rPr>
          <w:rFonts w:cs="Times New Roman"/>
          <w:b/>
          <w:bCs/>
          <w:color w:val="000000"/>
          <w:sz w:val="32"/>
          <w:szCs w:val="32"/>
          <w:shd w:val="clear" w:color="auto" w:fill="FFFFFF"/>
        </w:rPr>
        <w:t>加强重大水利工程建设。</w:t>
      </w:r>
      <w:r>
        <w:rPr>
          <w:rFonts w:cs="Times New Roman"/>
          <w:color w:val="000000"/>
          <w:sz w:val="32"/>
          <w:szCs w:val="32"/>
          <w:shd w:val="clear" w:color="auto" w:fill="FFFFFF"/>
        </w:rPr>
        <w:t>全面建成黄河东线马镇引水及神木支线工程，完成府谷岩溶水向店塔、中心城区供水。新建红柳沟、李家阴湾、散岔三个水库，保障城镇、农业灌溉用水。加强非常规水利用，推进矿井疏干水</w:t>
      </w:r>
      <w:r>
        <w:rPr>
          <w:rFonts w:hint="eastAsia" w:cs="Times New Roman"/>
          <w:color w:val="000000"/>
          <w:sz w:val="32"/>
          <w:szCs w:val="32"/>
          <w:shd w:val="clear" w:color="auto" w:fill="FFFFFF"/>
          <w:lang w:val="en-US" w:eastAsia="zh-CN"/>
        </w:rPr>
        <w:t>全部</w:t>
      </w:r>
      <w:r>
        <w:rPr>
          <w:rFonts w:cs="Times New Roman"/>
          <w:color w:val="000000"/>
          <w:sz w:val="32"/>
          <w:szCs w:val="32"/>
          <w:shd w:val="clear" w:color="auto" w:fill="FFFFFF"/>
        </w:rPr>
        <w:t>综合利用，实施神府片区、清水-锦界片区矿井水等重点补水工程。建设神木至锦界中水输水管道，</w:t>
      </w:r>
      <w:r>
        <w:rPr>
          <w:rFonts w:hint="eastAsia" w:cs="Times New Roman"/>
          <w:color w:val="000000"/>
          <w:sz w:val="32"/>
          <w:szCs w:val="32"/>
          <w:shd w:val="clear" w:color="auto" w:fill="FFFFFF"/>
        </w:rPr>
        <w:t>推动</w:t>
      </w:r>
      <w:r>
        <w:rPr>
          <w:rFonts w:cs="Times New Roman"/>
          <w:color w:val="000000"/>
          <w:sz w:val="32"/>
          <w:szCs w:val="32"/>
          <w:shd w:val="clear" w:color="auto" w:fill="FFFFFF"/>
        </w:rPr>
        <w:t>神木污水处理厂中水</w:t>
      </w:r>
      <w:r>
        <w:rPr>
          <w:rFonts w:hint="eastAsia" w:cs="Times New Roman"/>
          <w:color w:val="000000"/>
          <w:sz w:val="32"/>
          <w:szCs w:val="32"/>
          <w:shd w:val="clear" w:color="auto" w:fill="FFFFFF"/>
        </w:rPr>
        <w:t>和</w:t>
      </w:r>
      <w:r>
        <w:rPr>
          <w:rFonts w:cs="Times New Roman"/>
          <w:color w:val="000000"/>
          <w:sz w:val="32"/>
          <w:szCs w:val="32"/>
          <w:shd w:val="clear" w:color="auto" w:fill="FFFFFF"/>
        </w:rPr>
        <w:t>香水河、凉水井等矿井水向锦界园区供水。到2025年，新增供水量2.5亿</w:t>
      </w:r>
      <w:r>
        <w:rPr>
          <w:rFonts w:hint="eastAsia" w:eastAsia="仿宋" w:cs="Times New Roman"/>
          <w:color w:val="333333"/>
          <w:sz w:val="32"/>
          <w:szCs w:val="32"/>
          <w:lang w:val="en-US" w:eastAsia="zh-CN"/>
        </w:rPr>
        <w:t>立方米</w:t>
      </w:r>
      <w:r>
        <w:rPr>
          <w:rFonts w:cs="Times New Roman"/>
          <w:color w:val="000000"/>
          <w:sz w:val="32"/>
          <w:szCs w:val="32"/>
          <w:shd w:val="clear" w:color="auto" w:fill="FFFFFF"/>
        </w:rPr>
        <w:t>以上</w:t>
      </w:r>
      <w:r>
        <w:rPr>
          <w:rFonts w:hint="eastAsia" w:cs="Times New Roman"/>
          <w:color w:val="000000"/>
          <w:sz w:val="32"/>
          <w:szCs w:val="32"/>
          <w:shd w:val="clear" w:color="auto" w:fill="FFFFFF"/>
        </w:rPr>
        <w:t>，</w:t>
      </w:r>
      <w:r>
        <w:rPr>
          <w:rFonts w:cs="Times New Roman"/>
          <w:color w:val="000000"/>
          <w:sz w:val="32"/>
          <w:szCs w:val="32"/>
          <w:shd w:val="clear" w:color="auto" w:fill="FFFFFF"/>
        </w:rPr>
        <w:t>工业用水保障率达到80%</w:t>
      </w:r>
      <w:r>
        <w:rPr>
          <w:rFonts w:hint="eastAsia" w:cs="Times New Roman"/>
          <w:color w:val="000000"/>
          <w:sz w:val="32"/>
          <w:szCs w:val="32"/>
          <w:shd w:val="clear" w:color="auto" w:fill="FFFFFF"/>
        </w:rPr>
        <w:t>，</w:t>
      </w:r>
      <w:r>
        <w:rPr>
          <w:rFonts w:cs="Times New Roman"/>
          <w:color w:val="000000"/>
          <w:sz w:val="32"/>
          <w:szCs w:val="32"/>
          <w:shd w:val="clear" w:color="auto" w:fill="FFFFFF"/>
        </w:rPr>
        <w:t>非常规水利用率达到80%</w:t>
      </w:r>
      <w:r>
        <w:rPr>
          <w:rFonts w:hint="eastAsia" w:cs="Times New Roman"/>
          <w:color w:val="000000"/>
          <w:sz w:val="32"/>
          <w:szCs w:val="32"/>
          <w:shd w:val="clear" w:color="auto" w:fill="FFFFFF"/>
        </w:rPr>
        <w:t>。</w:t>
      </w:r>
    </w:p>
    <w:p>
      <w:pPr>
        <w:spacing w:line="576" w:lineRule="exact"/>
        <w:ind w:firstLine="640"/>
        <w:jc w:val="both"/>
        <w:rPr>
          <w:rFonts w:cs="Times New Roman"/>
          <w:color w:val="000000"/>
          <w:sz w:val="32"/>
          <w:szCs w:val="32"/>
          <w:shd w:val="clear" w:color="auto" w:fill="FFFFFF"/>
        </w:rPr>
      </w:pPr>
      <w:r>
        <w:rPr>
          <w:rFonts w:cs="Times New Roman"/>
          <w:b/>
          <w:bCs/>
          <w:color w:val="000000"/>
          <w:sz w:val="32"/>
          <w:szCs w:val="32"/>
          <w:shd w:val="clear" w:color="auto" w:fill="FFFFFF"/>
        </w:rPr>
        <w:t>实施供水安全保障行动。</w:t>
      </w:r>
      <w:r>
        <w:rPr>
          <w:rFonts w:cs="Times New Roman"/>
          <w:color w:val="000000"/>
          <w:sz w:val="32"/>
          <w:szCs w:val="32"/>
          <w:shd w:val="clear" w:color="auto" w:fill="FFFFFF"/>
        </w:rPr>
        <w:t>坚持“以水定城、以水定地、以水定人、以水定产”，突出适水发展、量水生产底线思维，以水资源承载力确定我市高质量发展模式和路径。统筹全市重点骨干水源和供水工程，打破城乡和区域界限，</w:t>
      </w:r>
      <w:r>
        <w:rPr>
          <w:rFonts w:hint="eastAsia" w:cs="Times New Roman"/>
          <w:color w:val="000000"/>
          <w:sz w:val="32"/>
          <w:szCs w:val="32"/>
          <w:shd w:val="clear" w:color="auto" w:fill="FFFFFF"/>
        </w:rPr>
        <w:t>促进</w:t>
      </w:r>
      <w:r>
        <w:rPr>
          <w:rFonts w:cs="Times New Roman"/>
          <w:color w:val="000000"/>
          <w:sz w:val="32"/>
          <w:szCs w:val="32"/>
          <w:shd w:val="clear" w:color="auto" w:fill="FFFFFF"/>
        </w:rPr>
        <w:t>优质水源向</w:t>
      </w:r>
      <w:r>
        <w:rPr>
          <w:rFonts w:hint="eastAsia" w:cs="Times New Roman"/>
          <w:color w:val="000000"/>
          <w:sz w:val="32"/>
          <w:szCs w:val="32"/>
          <w:shd w:val="clear" w:color="auto" w:fill="FFFFFF"/>
        </w:rPr>
        <w:t>城乡</w:t>
      </w:r>
      <w:r>
        <w:rPr>
          <w:rFonts w:cs="Times New Roman"/>
          <w:color w:val="000000"/>
          <w:sz w:val="32"/>
          <w:szCs w:val="32"/>
          <w:shd w:val="clear" w:color="auto" w:fill="FFFFFF"/>
        </w:rPr>
        <w:t>集中。实施</w:t>
      </w:r>
      <w:r>
        <w:rPr>
          <w:rFonts w:hint="eastAsia" w:cs="Times New Roman"/>
          <w:color w:val="000000"/>
          <w:sz w:val="32"/>
          <w:szCs w:val="32"/>
          <w:shd w:val="clear" w:color="auto" w:fill="FFFFFF"/>
          <w:lang w:val="en-US" w:eastAsia="zh-CN"/>
        </w:rPr>
        <w:t>窟野河、禿尾河</w:t>
      </w:r>
      <w:r>
        <w:rPr>
          <w:rFonts w:hint="eastAsia" w:ascii="仿宋_GB2312" w:hAnsi="仿宋_GB2312" w:cs="仿宋_GB2312"/>
          <w:color w:val="auto"/>
          <w:sz w:val="32"/>
          <w:szCs w:val="32"/>
          <w:lang w:val="en-US" w:eastAsia="zh-CN"/>
        </w:rPr>
        <w:t>灌溉</w:t>
      </w:r>
      <w:r>
        <w:rPr>
          <w:rFonts w:hint="eastAsia" w:ascii="仿宋_GB2312" w:hAnsi="仿宋_GB2312" w:eastAsia="仿宋_GB2312" w:cs="仿宋_GB2312"/>
          <w:color w:val="auto"/>
          <w:sz w:val="32"/>
          <w:szCs w:val="32"/>
          <w:lang w:val="en-US" w:eastAsia="zh-CN"/>
        </w:rPr>
        <w:t>渠道节水改造，</w:t>
      </w:r>
      <w:r>
        <w:rPr>
          <w:rFonts w:cs="Times New Roman"/>
          <w:color w:val="000000"/>
          <w:sz w:val="32"/>
          <w:szCs w:val="32"/>
          <w:shd w:val="clear" w:color="auto" w:fill="FFFFFF"/>
        </w:rPr>
        <w:t>新建和改造小型农田灌溉设施</w:t>
      </w:r>
      <w:r>
        <w:rPr>
          <w:rFonts w:hint="eastAsia" w:cs="Times New Roman"/>
          <w:color w:val="000000"/>
          <w:sz w:val="32"/>
          <w:szCs w:val="32"/>
          <w:shd w:val="clear" w:color="auto" w:fill="FFFFFF"/>
          <w:lang w:val="en-US" w:eastAsia="zh-CN"/>
        </w:rPr>
        <w:t>3</w:t>
      </w:r>
      <w:r>
        <w:rPr>
          <w:rFonts w:cs="Times New Roman"/>
          <w:color w:val="000000"/>
          <w:sz w:val="32"/>
          <w:szCs w:val="32"/>
          <w:shd w:val="clear" w:color="auto" w:fill="FFFFFF"/>
        </w:rPr>
        <w:t>26处</w:t>
      </w:r>
      <w:r>
        <w:rPr>
          <w:rFonts w:hint="eastAsia" w:cs="Times New Roman"/>
          <w:color w:val="000000"/>
          <w:sz w:val="32"/>
          <w:szCs w:val="32"/>
          <w:shd w:val="clear" w:color="auto" w:fill="FFFFFF"/>
        </w:rPr>
        <w:t>，</w:t>
      </w:r>
      <w:r>
        <w:rPr>
          <w:rFonts w:cs="Times New Roman"/>
          <w:color w:val="000000"/>
          <w:sz w:val="32"/>
          <w:szCs w:val="32"/>
          <w:shd w:val="clear" w:color="auto" w:fill="FFFFFF"/>
        </w:rPr>
        <w:t>维修和建设农村安全饮水工程420处。到2025年，城乡人畜饮水安全保障率达到100%，农村自来水普及率达到9</w:t>
      </w:r>
      <w:r>
        <w:rPr>
          <w:rFonts w:hint="eastAsia" w:cs="Times New Roman"/>
          <w:color w:val="000000"/>
          <w:sz w:val="32"/>
          <w:szCs w:val="32"/>
          <w:shd w:val="clear" w:color="auto" w:fill="FFFFFF"/>
          <w:lang w:val="en-US" w:eastAsia="zh-CN"/>
        </w:rPr>
        <w:t>8</w:t>
      </w:r>
      <w:r>
        <w:rPr>
          <w:rFonts w:cs="Times New Roman"/>
          <w:color w:val="000000"/>
          <w:sz w:val="32"/>
          <w:szCs w:val="32"/>
          <w:shd w:val="clear" w:color="auto" w:fill="FFFFFF"/>
        </w:rPr>
        <w:t>%</w:t>
      </w:r>
      <w:r>
        <w:rPr>
          <w:rFonts w:hint="eastAsia" w:cs="Times New Roman"/>
          <w:color w:val="000000"/>
          <w:sz w:val="32"/>
          <w:szCs w:val="32"/>
          <w:shd w:val="clear" w:color="auto" w:fill="FFFFFF"/>
        </w:rPr>
        <w:t>，</w:t>
      </w:r>
      <w:r>
        <w:rPr>
          <w:rFonts w:cs="Times New Roman"/>
          <w:color w:val="000000"/>
          <w:sz w:val="32"/>
          <w:szCs w:val="32"/>
          <w:shd w:val="clear" w:color="auto" w:fill="FFFFFF"/>
        </w:rPr>
        <w:t>农业灌溉用水保障率达到85%，实现全市安全饮水全覆盖。</w:t>
      </w:r>
    </w:p>
    <w:tbl>
      <w:tblPr>
        <w:tblStyle w:val="25"/>
        <w:tblW w:w="8332"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2" w:hRule="atLeast"/>
        </w:trPr>
        <w:tc>
          <w:tcPr>
            <w:tcW w:w="8332" w:type="dxa"/>
          </w:tcPr>
          <w:p>
            <w:pPr>
              <w:spacing w:line="520" w:lineRule="exact"/>
              <w:ind w:firstLine="0" w:firstLineChars="0"/>
              <w:jc w:val="left"/>
              <w:rPr>
                <w:rFonts w:hint="eastAsia" w:ascii="黑体" w:hAnsi="黑体" w:eastAsia="黑体" w:cs="黑体"/>
                <w:sz w:val="24"/>
                <w:szCs w:val="24"/>
              </w:rPr>
            </w:pPr>
            <w:r>
              <w:rPr>
                <w:rFonts w:hint="eastAsia" w:ascii="黑体" w:hAnsi="黑体" w:eastAsia="黑体" w:cs="黑体"/>
                <w:sz w:val="24"/>
                <w:szCs w:val="24"/>
              </w:rPr>
              <w:t>专栏</w:t>
            </w:r>
            <w:r>
              <w:rPr>
                <w:rFonts w:hint="eastAsia" w:ascii="黑体" w:hAnsi="黑体" w:eastAsia="黑体" w:cs="黑体"/>
                <w:sz w:val="24"/>
                <w:szCs w:val="24"/>
                <w:lang w:val="en-US" w:eastAsia="zh-CN"/>
              </w:rPr>
              <w:t>10：</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黑体" w:hAnsi="黑体" w:eastAsia="黑体" w:cs="黑体"/>
              </w:rPr>
            </w:pPr>
            <w:r>
              <w:rPr>
                <w:rFonts w:hint="eastAsia" w:ascii="黑体" w:hAnsi="黑体" w:eastAsia="黑体" w:cs="黑体"/>
              </w:rPr>
              <w:t>“十四五”水资源配置项目</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水资源配置</w:t>
            </w:r>
            <w:r>
              <w:rPr>
                <w:rFonts w:hint="eastAsia" w:ascii="楷体_GB2312" w:hAnsi="楷体_GB2312" w:eastAsia="楷体_GB2312" w:cs="楷体_GB2312"/>
                <w:b/>
                <w:bCs/>
                <w:sz w:val="24"/>
                <w:szCs w:val="24"/>
                <w:lang w:val="en-US" w:eastAsia="zh-CN"/>
              </w:rPr>
              <w:t>及管网</w:t>
            </w:r>
            <w:r>
              <w:rPr>
                <w:rFonts w:hint="eastAsia" w:ascii="楷体_GB2312" w:hAnsi="楷体_GB2312" w:eastAsia="楷体_GB2312" w:cs="楷体_GB2312"/>
                <w:b/>
                <w:bCs/>
                <w:sz w:val="24"/>
                <w:szCs w:val="24"/>
              </w:rPr>
              <w:t>：</w:t>
            </w:r>
            <w:r>
              <w:rPr>
                <w:rFonts w:hint="eastAsia" w:ascii="仿宋_GB2312" w:hAnsi="仿宋_GB2312" w:eastAsia="仿宋_GB2312" w:cs="仿宋_GB2312"/>
                <w:sz w:val="24"/>
                <w:szCs w:val="24"/>
              </w:rPr>
              <w:t>黄河东线马镇引</w:t>
            </w:r>
            <w:r>
              <w:rPr>
                <w:rFonts w:hint="eastAsia" w:ascii="仿宋_GB2312" w:hAnsi="仿宋_GB2312" w:cs="仿宋_GB2312"/>
                <w:sz w:val="24"/>
                <w:szCs w:val="24"/>
                <w:lang w:val="en-US" w:eastAsia="zh-CN"/>
              </w:rPr>
              <w:t>水神木</w:t>
            </w:r>
            <w:r>
              <w:rPr>
                <w:rFonts w:hint="eastAsia" w:ascii="仿宋_GB2312" w:hAnsi="仿宋_GB2312" w:eastAsia="仿宋_GB2312" w:cs="仿宋_GB2312"/>
                <w:sz w:val="24"/>
                <w:szCs w:val="24"/>
              </w:rPr>
              <w:t>支线、岩溶水供水工程；建设红柳沟、李家阴湾、散岔水库</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神木至锦界中水输水管道、神木-店塔-柠条塔工业园区中水输水管道、大柳塔-中鸡-红碱淖输水管道</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城镇供水：</w:t>
            </w:r>
            <w:r>
              <w:rPr>
                <w:rFonts w:hint="eastAsia" w:ascii="仿宋_GB2312" w:hAnsi="仿宋_GB2312" w:cs="仿宋_GB2312"/>
                <w:sz w:val="24"/>
                <w:szCs w:val="24"/>
                <w:lang w:val="en-US" w:eastAsia="zh-CN"/>
              </w:rPr>
              <w:t>农高区核心区二期供水、</w:t>
            </w:r>
            <w:r>
              <w:rPr>
                <w:rFonts w:hint="eastAsia" w:ascii="仿宋_GB2312" w:hAnsi="仿宋_GB2312" w:eastAsia="仿宋_GB2312" w:cs="仿宋_GB2312"/>
                <w:sz w:val="24"/>
                <w:szCs w:val="24"/>
              </w:rPr>
              <w:t>矿区移民小区供水、城乡一体化供水、锦界镇和高家堡镇规模化供水、大保当镇规模化供水</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农业灌溉：</w:t>
            </w:r>
            <w:r>
              <w:rPr>
                <w:rFonts w:hint="eastAsia" w:ascii="仿宋_GB2312" w:hAnsi="仿宋_GB2312" w:eastAsia="仿宋_GB2312" w:cs="仿宋_GB2312"/>
                <w:sz w:val="24"/>
                <w:szCs w:val="24"/>
              </w:rPr>
              <w:t>完成窟野河灌溉渠道、秃尾河灌溉渠道节水改造；高惠渠至桑树渠连通；</w:t>
            </w:r>
            <w:r>
              <w:rPr>
                <w:rFonts w:hint="eastAsia" w:ascii="仿宋_GB2312" w:hAnsi="仿宋_GB2312" w:cs="仿宋_GB2312"/>
                <w:sz w:val="24"/>
                <w:szCs w:val="24"/>
                <w:lang w:val="en-US" w:eastAsia="zh-CN"/>
              </w:rPr>
              <w:t>实施</w:t>
            </w:r>
            <w:r>
              <w:rPr>
                <w:rFonts w:hint="eastAsia" w:ascii="仿宋_GB2312" w:hAnsi="仿宋_GB2312" w:eastAsia="仿宋_GB2312" w:cs="仿宋_GB2312"/>
                <w:sz w:val="24"/>
                <w:szCs w:val="24"/>
              </w:rPr>
              <w:t>矿区配套灌溉30处；新建和改造小型农田灌溉设施</w:t>
            </w: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rPr>
              <w:t>26处</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cs="仿宋_GB2312"/>
                <w:sz w:val="24"/>
                <w:szCs w:val="24"/>
                <w:lang w:eastAsia="zh-CN"/>
              </w:rPr>
            </w:pPr>
            <w:r>
              <w:rPr>
                <w:rFonts w:hint="eastAsia" w:ascii="楷体_GB2312" w:hAnsi="楷体_GB2312" w:eastAsia="楷体_GB2312" w:cs="楷体_GB2312"/>
                <w:b/>
                <w:bCs/>
                <w:sz w:val="24"/>
                <w:szCs w:val="24"/>
              </w:rPr>
              <w:t>非常规水利用：</w:t>
            </w:r>
            <w:r>
              <w:rPr>
                <w:rFonts w:hint="eastAsia" w:ascii="仿宋_GB2312" w:hAnsi="仿宋_GB2312" w:eastAsia="仿宋_GB2312" w:cs="仿宋_GB2312"/>
                <w:sz w:val="24"/>
                <w:szCs w:val="24"/>
              </w:rPr>
              <w:t>隆德煤矿黑龙沟生态补水工程、神府片区矿井水综合利用工程、清水-锦界片区矿井水综合利用；锦界煤矿矿井水为红碱淖补水</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eastAsia="仿宋_GB2312" w:cs="Times New Roman"/>
                <w:b/>
                <w:bCs/>
                <w:sz w:val="32"/>
                <w:szCs w:val="32"/>
                <w:lang w:eastAsia="zh-CN"/>
              </w:rPr>
            </w:pPr>
            <w:r>
              <w:rPr>
                <w:rFonts w:hint="eastAsia" w:ascii="楷体_GB2312" w:hAnsi="楷体_GB2312" w:eastAsia="楷体_GB2312" w:cs="楷体_GB2312"/>
                <w:b/>
                <w:bCs/>
                <w:sz w:val="24"/>
                <w:szCs w:val="24"/>
              </w:rPr>
              <w:t>农村小型安全饮水：</w:t>
            </w:r>
            <w:r>
              <w:rPr>
                <w:rFonts w:hint="eastAsia" w:ascii="仿宋_GB2312" w:hAnsi="仿宋_GB2312" w:eastAsia="仿宋_GB2312" w:cs="仿宋_GB2312"/>
                <w:sz w:val="24"/>
                <w:szCs w:val="24"/>
              </w:rPr>
              <w:t>维修和建设农村安全饮水工程420处</w:t>
            </w:r>
            <w:r>
              <w:rPr>
                <w:rFonts w:hint="eastAsia" w:ascii="仿宋_GB2312" w:hAnsi="仿宋_GB2312" w:cs="仿宋_GB2312"/>
                <w:sz w:val="24"/>
                <w:szCs w:val="24"/>
                <w:lang w:eastAsia="zh-CN"/>
              </w:rPr>
              <w:t>。</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28" w:name="_Toc15132"/>
      <w:r>
        <w:rPr>
          <w:rFonts w:hint="eastAsia" w:ascii="楷体_GB2312" w:hAnsi="楷体_GB2312" w:eastAsia="楷体_GB2312" w:cs="楷体_GB2312"/>
          <w:bCs/>
          <w:sz w:val="32"/>
          <w:szCs w:val="32"/>
        </w:rPr>
        <w:t>第三节 建设现代高效能源输配储网络</w:t>
      </w:r>
      <w:bookmarkEnd w:id="28"/>
    </w:p>
    <w:p>
      <w:pPr>
        <w:pStyle w:val="10"/>
        <w:spacing w:line="576" w:lineRule="exact"/>
        <w:ind w:firstLine="640"/>
        <w:jc w:val="both"/>
        <w:rPr>
          <w:rFonts w:cs="Times New Roman"/>
          <w:color w:val="000000"/>
          <w:sz w:val="32"/>
          <w:szCs w:val="32"/>
          <w:shd w:val="clear" w:color="auto" w:fill="FFFFFF"/>
        </w:rPr>
      </w:pPr>
      <w:r>
        <w:rPr>
          <w:rFonts w:cs="Times New Roman"/>
          <w:b/>
          <w:bCs/>
          <w:color w:val="000000"/>
          <w:sz w:val="32"/>
          <w:szCs w:val="32"/>
          <w:shd w:val="clear" w:color="auto" w:fill="FFFFFF"/>
        </w:rPr>
        <w:t>电力通道。</w:t>
      </w:r>
      <w:r>
        <w:rPr>
          <w:rFonts w:hint="eastAsia" w:cs="Times New Roman"/>
          <w:color w:val="000000"/>
          <w:sz w:val="32"/>
          <w:szCs w:val="32"/>
          <w:shd w:val="clear" w:color="auto" w:fill="FFFFFF"/>
        </w:rPr>
        <w:t>加强</w:t>
      </w:r>
      <w:r>
        <w:rPr>
          <w:rFonts w:cs="Times New Roman"/>
          <w:color w:val="000000"/>
          <w:sz w:val="32"/>
          <w:szCs w:val="32"/>
          <w:shd w:val="clear" w:color="auto" w:fill="FFFFFF"/>
        </w:rPr>
        <w:t>与河北、浙江、贵州等</w:t>
      </w:r>
      <w:r>
        <w:rPr>
          <w:rFonts w:hint="eastAsia" w:cs="Times New Roman"/>
          <w:color w:val="000000"/>
          <w:sz w:val="32"/>
          <w:szCs w:val="32"/>
          <w:shd w:val="clear" w:color="auto" w:fill="FFFFFF"/>
        </w:rPr>
        <w:t>地在</w:t>
      </w:r>
      <w:r>
        <w:rPr>
          <w:rFonts w:cs="Times New Roman"/>
          <w:color w:val="000000"/>
          <w:sz w:val="32"/>
          <w:szCs w:val="32"/>
          <w:shd w:val="clear" w:color="auto" w:fill="FFFFFF"/>
        </w:rPr>
        <w:t>能源</w:t>
      </w:r>
      <w:r>
        <w:rPr>
          <w:rFonts w:hint="eastAsia" w:cs="Times New Roman"/>
          <w:color w:val="000000"/>
          <w:sz w:val="32"/>
          <w:szCs w:val="32"/>
          <w:shd w:val="clear" w:color="auto" w:fill="FFFFFF"/>
        </w:rPr>
        <w:t>领域</w:t>
      </w:r>
      <w:r>
        <w:rPr>
          <w:rFonts w:cs="Times New Roman"/>
          <w:color w:val="000000"/>
          <w:sz w:val="32"/>
          <w:szCs w:val="32"/>
          <w:shd w:val="clear" w:color="auto" w:fill="FFFFFF"/>
        </w:rPr>
        <w:t>战略合作，加快跨省区电力输送通道建设，建成陕北</w:t>
      </w:r>
      <w:r>
        <w:rPr>
          <w:rFonts w:hint="eastAsia" w:cs="Times New Roman"/>
          <w:color w:val="000000"/>
          <w:sz w:val="32"/>
          <w:szCs w:val="32"/>
          <w:shd w:val="clear" w:color="auto" w:fill="FFFFFF"/>
        </w:rPr>
        <w:t>—</w:t>
      </w:r>
      <w:r>
        <w:rPr>
          <w:rFonts w:cs="Times New Roman"/>
          <w:color w:val="000000"/>
          <w:sz w:val="32"/>
          <w:szCs w:val="32"/>
          <w:shd w:val="clear" w:color="auto" w:fill="FFFFFF"/>
        </w:rPr>
        <w:t>湖北电力外送通道建设，实施神木</w:t>
      </w:r>
      <w:r>
        <w:rPr>
          <w:rFonts w:hint="eastAsia" w:cs="Times New Roman"/>
          <w:color w:val="000000"/>
          <w:sz w:val="32"/>
          <w:szCs w:val="32"/>
          <w:shd w:val="clear" w:color="auto" w:fill="FFFFFF"/>
        </w:rPr>
        <w:t>—</w:t>
      </w:r>
      <w:r>
        <w:rPr>
          <w:rFonts w:cs="Times New Roman"/>
          <w:color w:val="000000"/>
          <w:sz w:val="32"/>
          <w:szCs w:val="32"/>
          <w:shd w:val="clear" w:color="auto" w:fill="FFFFFF"/>
        </w:rPr>
        <w:t>河北南网扩建工程。</w:t>
      </w:r>
    </w:p>
    <w:p>
      <w:pPr>
        <w:pStyle w:val="10"/>
        <w:spacing w:line="576" w:lineRule="exact"/>
        <w:ind w:firstLine="640"/>
        <w:jc w:val="both"/>
        <w:rPr>
          <w:rFonts w:cs="Times New Roman"/>
          <w:color w:val="000000"/>
          <w:sz w:val="32"/>
          <w:szCs w:val="32"/>
          <w:shd w:val="clear" w:color="auto" w:fill="FFFFFF"/>
        </w:rPr>
      </w:pPr>
      <w:r>
        <w:rPr>
          <w:rFonts w:cs="Times New Roman"/>
          <w:b/>
          <w:bCs/>
          <w:color w:val="000000"/>
          <w:sz w:val="32"/>
          <w:szCs w:val="32"/>
          <w:shd w:val="clear" w:color="auto" w:fill="FFFFFF"/>
        </w:rPr>
        <w:t>智能电网。</w:t>
      </w:r>
      <w:r>
        <w:rPr>
          <w:rFonts w:cs="Times New Roman"/>
          <w:bCs/>
          <w:color w:val="000000"/>
          <w:sz w:val="32"/>
          <w:szCs w:val="32"/>
        </w:rPr>
        <w:t>加快增量配电网建设，</w:t>
      </w:r>
      <w:r>
        <w:rPr>
          <w:rFonts w:cs="Times New Roman"/>
          <w:color w:val="000000"/>
          <w:sz w:val="32"/>
          <w:szCs w:val="32"/>
          <w:shd w:val="clear" w:color="auto" w:fill="FFFFFF"/>
        </w:rPr>
        <w:t>强化330千伏及以下输配电网建设</w:t>
      </w:r>
      <w:r>
        <w:rPr>
          <w:rFonts w:hint="eastAsia" w:cs="Times New Roman"/>
          <w:color w:val="000000"/>
          <w:sz w:val="32"/>
          <w:szCs w:val="32"/>
          <w:shd w:val="clear" w:color="auto" w:fill="FFFFFF"/>
        </w:rPr>
        <w:t>，</w:t>
      </w:r>
      <w:r>
        <w:rPr>
          <w:rFonts w:cs="Times New Roman"/>
          <w:bCs/>
          <w:color w:val="000000"/>
          <w:sz w:val="32"/>
          <w:szCs w:val="32"/>
        </w:rPr>
        <w:t>开展锦界、中鸡等配网区域购售电</w:t>
      </w:r>
      <w:r>
        <w:rPr>
          <w:rFonts w:hint="eastAsia" w:cs="Times New Roman"/>
          <w:bCs/>
          <w:color w:val="000000"/>
          <w:sz w:val="32"/>
          <w:szCs w:val="32"/>
        </w:rPr>
        <w:t>。推动产业园区智慧能源综合服务</w:t>
      </w:r>
      <w:r>
        <w:rPr>
          <w:rFonts w:cs="Times New Roman"/>
          <w:color w:val="000000"/>
          <w:sz w:val="32"/>
          <w:szCs w:val="32"/>
          <w:shd w:val="clear" w:color="auto" w:fill="FFFFFF"/>
        </w:rPr>
        <w:t>。完善配网自动化项目，南部镇区干线及主要支线安装线路故障指示装置，北部镇区线路安装分段控制装置，提高电网运行监控、故障定位排除等综合保障能力。加快农村电网升级改造，提高供电可靠率。</w:t>
      </w:r>
    </w:p>
    <w:p>
      <w:pPr>
        <w:pStyle w:val="10"/>
        <w:spacing w:line="576" w:lineRule="exact"/>
        <w:ind w:firstLine="640"/>
        <w:jc w:val="both"/>
        <w:rPr>
          <w:rFonts w:cs="Times New Roman"/>
          <w:color w:val="000000"/>
          <w:sz w:val="32"/>
          <w:szCs w:val="32"/>
          <w:shd w:val="clear" w:color="auto" w:fill="FFFFFF"/>
        </w:rPr>
      </w:pPr>
      <w:r>
        <w:rPr>
          <w:rFonts w:cs="Times New Roman"/>
          <w:b/>
          <w:bCs/>
          <w:color w:val="000000"/>
          <w:sz w:val="32"/>
          <w:szCs w:val="32"/>
          <w:shd w:val="clear" w:color="auto" w:fill="FFFFFF"/>
        </w:rPr>
        <w:t>油气管道。</w:t>
      </w:r>
      <w:r>
        <w:rPr>
          <w:rFonts w:cs="Times New Roman"/>
          <w:color w:val="000000"/>
          <w:sz w:val="32"/>
          <w:szCs w:val="32"/>
          <w:shd w:val="clear" w:color="auto" w:fill="FFFFFF"/>
        </w:rPr>
        <w:t>优化油气管道资源配置效率，推动新建输气管网与国家</w:t>
      </w:r>
      <w:r>
        <w:rPr>
          <w:rFonts w:hint="eastAsia" w:cs="Times New Roman"/>
          <w:color w:val="000000"/>
          <w:sz w:val="32"/>
          <w:szCs w:val="32"/>
          <w:shd w:val="clear" w:color="auto" w:fill="FFFFFF"/>
        </w:rPr>
        <w:t>油气长输管线</w:t>
      </w:r>
      <w:r>
        <w:rPr>
          <w:rFonts w:cs="Times New Roman"/>
          <w:color w:val="000000"/>
          <w:sz w:val="32"/>
          <w:szCs w:val="32"/>
          <w:shd w:val="clear" w:color="auto" w:fill="FFFFFF"/>
        </w:rPr>
        <w:t>互联互通，保障陕京一、二线平稳运行。加快推进锦界高新区、兰炭产业园区输气管道建设</w:t>
      </w:r>
      <w:r>
        <w:rPr>
          <w:rFonts w:hint="eastAsia" w:cs="Times New Roman"/>
          <w:color w:val="000000"/>
          <w:sz w:val="32"/>
          <w:szCs w:val="32"/>
          <w:shd w:val="clear" w:color="auto" w:fill="FFFFFF"/>
          <w:lang w:eastAsia="zh-CN"/>
        </w:rPr>
        <w:t>。</w:t>
      </w:r>
      <w:r>
        <w:rPr>
          <w:rFonts w:cs="Times New Roman"/>
          <w:color w:val="000000"/>
          <w:sz w:val="32"/>
          <w:szCs w:val="32"/>
          <w:shd w:val="clear" w:color="auto" w:fill="FFFFFF"/>
        </w:rPr>
        <w:t>推动燃气管道延伸</w:t>
      </w:r>
      <w:r>
        <w:rPr>
          <w:rFonts w:hint="eastAsia" w:cs="Times New Roman"/>
          <w:color w:val="000000"/>
          <w:sz w:val="32"/>
          <w:szCs w:val="32"/>
          <w:shd w:val="clear" w:color="auto" w:fill="FFFFFF"/>
          <w:lang w:eastAsia="zh-CN"/>
        </w:rPr>
        <w:t>至</w:t>
      </w:r>
      <w:r>
        <w:rPr>
          <w:rFonts w:cs="Times New Roman"/>
          <w:color w:val="000000"/>
          <w:sz w:val="32"/>
          <w:szCs w:val="32"/>
          <w:shd w:val="clear" w:color="auto" w:fill="FFFFFF"/>
        </w:rPr>
        <w:t>高家堡等南部镇区。</w:t>
      </w:r>
    </w:p>
    <w:p>
      <w:pPr>
        <w:pStyle w:val="10"/>
        <w:spacing w:line="576" w:lineRule="exact"/>
        <w:ind w:firstLine="640"/>
        <w:jc w:val="both"/>
        <w:rPr>
          <w:rFonts w:cs="Times New Roman"/>
          <w:b/>
          <w:bCs/>
          <w:color w:val="000000"/>
          <w:sz w:val="32"/>
          <w:szCs w:val="32"/>
          <w:shd w:val="clear" w:color="auto" w:fill="FFFFFF"/>
        </w:rPr>
      </w:pPr>
      <w:r>
        <w:rPr>
          <w:rFonts w:cs="Times New Roman"/>
          <w:b/>
          <w:bCs/>
          <w:color w:val="000000"/>
          <w:sz w:val="32"/>
          <w:szCs w:val="32"/>
          <w:shd w:val="clear" w:color="auto" w:fill="FFFFFF"/>
        </w:rPr>
        <w:t>储气</w:t>
      </w:r>
      <w:r>
        <w:rPr>
          <w:rFonts w:hint="eastAsia" w:cs="Times New Roman"/>
          <w:b/>
          <w:bCs/>
          <w:color w:val="000000"/>
          <w:sz w:val="32"/>
          <w:szCs w:val="32"/>
          <w:shd w:val="clear" w:color="auto" w:fill="FFFFFF"/>
          <w:lang w:eastAsia="zh-CN"/>
        </w:rPr>
        <w:t>设施</w:t>
      </w:r>
      <w:r>
        <w:rPr>
          <w:rFonts w:cs="Times New Roman"/>
          <w:b/>
          <w:bCs/>
          <w:color w:val="000000"/>
          <w:sz w:val="32"/>
          <w:szCs w:val="32"/>
          <w:shd w:val="clear" w:color="auto" w:fill="FFFFFF"/>
        </w:rPr>
        <w:t>。</w:t>
      </w:r>
      <w:r>
        <w:rPr>
          <w:rFonts w:cs="Times New Roman"/>
          <w:color w:val="000000"/>
          <w:sz w:val="32"/>
          <w:szCs w:val="32"/>
          <w:shd w:val="clear" w:color="auto" w:fill="FFFFFF"/>
        </w:rPr>
        <w:t>发挥神木气源产地优势，借助西气东输地理位置，集中新建美能</w:t>
      </w:r>
      <w:r>
        <w:rPr>
          <w:rFonts w:hint="eastAsia" w:cs="Times New Roman"/>
          <w:color w:val="000000"/>
          <w:sz w:val="32"/>
          <w:szCs w:val="32"/>
          <w:shd w:val="clear" w:color="auto" w:fill="FFFFFF"/>
          <w:lang w:val="en-US" w:eastAsia="zh-CN"/>
        </w:rPr>
        <w:t>200</w:t>
      </w:r>
      <w:r>
        <w:rPr>
          <w:rFonts w:cs="Times New Roman"/>
          <w:color w:val="000000"/>
          <w:sz w:val="32"/>
          <w:szCs w:val="32"/>
          <w:shd w:val="clear" w:color="auto" w:fill="FFFFFF"/>
        </w:rPr>
        <w:t>万方</w:t>
      </w:r>
      <w:r>
        <w:rPr>
          <w:rFonts w:hint="eastAsia" w:cs="Times New Roman"/>
          <w:color w:val="000000"/>
          <w:sz w:val="32"/>
          <w:szCs w:val="32"/>
          <w:shd w:val="clear" w:color="auto" w:fill="FFFFFF"/>
          <w:lang w:val="en-US" w:eastAsia="zh-CN"/>
        </w:rPr>
        <w:t>/年</w:t>
      </w:r>
      <w:r>
        <w:rPr>
          <w:rFonts w:cs="Times New Roman"/>
          <w:color w:val="000000"/>
          <w:sz w:val="32"/>
          <w:szCs w:val="32"/>
          <w:shd w:val="clear" w:color="auto" w:fill="FFFFFF"/>
        </w:rPr>
        <w:t>、</w:t>
      </w:r>
      <w:r>
        <w:rPr>
          <w:rFonts w:hint="eastAsia" w:cs="Times New Roman"/>
          <w:color w:val="000000"/>
          <w:sz w:val="32"/>
          <w:szCs w:val="32"/>
          <w:shd w:val="clear" w:color="auto" w:fill="FFFFFF"/>
          <w:lang w:eastAsia="zh-CN"/>
        </w:rPr>
        <w:t>赤焱</w:t>
      </w:r>
      <w:r>
        <w:rPr>
          <w:rFonts w:cs="Times New Roman"/>
          <w:color w:val="000000"/>
          <w:sz w:val="32"/>
          <w:szCs w:val="32"/>
          <w:shd w:val="clear" w:color="auto" w:fill="FFFFFF"/>
        </w:rPr>
        <w:t>3</w:t>
      </w:r>
      <w:r>
        <w:rPr>
          <w:rFonts w:hint="eastAsia" w:cs="Times New Roman"/>
          <w:color w:val="000000"/>
          <w:sz w:val="32"/>
          <w:szCs w:val="32"/>
          <w:shd w:val="clear" w:color="auto" w:fill="FFFFFF"/>
          <w:lang w:val="en-US" w:eastAsia="zh-CN"/>
        </w:rPr>
        <w:t>60</w:t>
      </w:r>
      <w:r>
        <w:rPr>
          <w:rFonts w:cs="Times New Roman"/>
          <w:color w:val="000000"/>
          <w:sz w:val="32"/>
          <w:szCs w:val="32"/>
          <w:shd w:val="clear" w:color="auto" w:fill="FFFFFF"/>
        </w:rPr>
        <w:t>0万方</w:t>
      </w:r>
      <w:r>
        <w:rPr>
          <w:rFonts w:hint="eastAsia" w:cs="Times New Roman"/>
          <w:color w:val="000000"/>
          <w:sz w:val="32"/>
          <w:szCs w:val="32"/>
          <w:shd w:val="clear" w:color="auto" w:fill="FFFFFF"/>
          <w:lang w:val="en-US" w:eastAsia="zh-CN"/>
        </w:rPr>
        <w:t>/年</w:t>
      </w:r>
      <w:r>
        <w:rPr>
          <w:rFonts w:cs="Times New Roman"/>
          <w:color w:val="000000"/>
          <w:sz w:val="32"/>
          <w:szCs w:val="32"/>
          <w:shd w:val="clear" w:color="auto" w:fill="FFFFFF"/>
        </w:rPr>
        <w:t>储气库，提升天然气储备调峰能力。</w:t>
      </w:r>
    </w:p>
    <w:p>
      <w:pPr>
        <w:pStyle w:val="44"/>
        <w:adjustRightInd/>
        <w:snapToGrid/>
        <w:spacing w:before="156" w:beforeLines="50" w:after="156" w:afterLines="50"/>
        <w:ind w:firstLine="0" w:firstLineChars="0"/>
        <w:jc w:val="center"/>
        <w:outlineLvl w:val="1"/>
        <w:rPr>
          <w:rFonts w:hint="eastAsia" w:eastAsia="楷体_GB2312" w:cs="Times New Roman"/>
          <w:bCs/>
          <w:sz w:val="32"/>
          <w:szCs w:val="32"/>
        </w:rPr>
      </w:pPr>
      <w:bookmarkStart w:id="29" w:name="_Toc7760"/>
      <w:r>
        <w:rPr>
          <w:rFonts w:hint="eastAsia" w:ascii="楷体_GB2312" w:hAnsi="楷体_GB2312" w:eastAsia="楷体_GB2312" w:cs="楷体_GB2312"/>
          <w:bCs/>
          <w:sz w:val="32"/>
          <w:szCs w:val="32"/>
        </w:rPr>
        <w:t>第四节 完善园区镇街基础设施</w:t>
      </w:r>
      <w:bookmarkEnd w:id="29"/>
      <w:r>
        <w:rPr>
          <w:rFonts w:hint="eastAsia" w:ascii="黑体" w:hAnsi="黑体" w:eastAsia="黑体" w:cs="黑体"/>
          <w:bCs/>
          <w:sz w:val="32"/>
          <w:szCs w:val="32"/>
        </w:rPr>
        <w:t xml:space="preserve"> </w:t>
      </w:r>
      <w:r>
        <w:rPr>
          <w:rFonts w:hint="eastAsia" w:eastAsia="楷体_GB2312" w:cs="Times New Roman"/>
          <w:bCs/>
          <w:sz w:val="32"/>
          <w:szCs w:val="32"/>
        </w:rPr>
        <w:t xml:space="preserve"> </w:t>
      </w:r>
    </w:p>
    <w:p>
      <w:pPr>
        <w:spacing w:line="576" w:lineRule="exact"/>
        <w:ind w:firstLine="640"/>
        <w:jc w:val="both"/>
        <w:rPr>
          <w:rFonts w:cs="Times New Roman"/>
          <w:sz w:val="32"/>
          <w:szCs w:val="32"/>
        </w:rPr>
      </w:pPr>
      <w:r>
        <w:rPr>
          <w:rFonts w:cs="Times New Roman"/>
          <w:b/>
          <w:bCs/>
          <w:color w:val="000000"/>
          <w:sz w:val="32"/>
          <w:szCs w:val="32"/>
          <w:shd w:val="clear" w:color="auto" w:fill="FFFFFF"/>
        </w:rPr>
        <w:t>加大园区基础设施建设。</w:t>
      </w:r>
      <w:r>
        <w:rPr>
          <w:rFonts w:cs="Times New Roman"/>
          <w:color w:val="000000"/>
          <w:sz w:val="32"/>
          <w:szCs w:val="32"/>
          <w:shd w:val="clear" w:color="auto" w:fill="FFFFFF"/>
        </w:rPr>
        <w:t>完善产业园区</w:t>
      </w:r>
      <w:r>
        <w:rPr>
          <w:rFonts w:hint="eastAsia" w:cs="Times New Roman"/>
          <w:color w:val="000000"/>
          <w:sz w:val="32"/>
          <w:szCs w:val="32"/>
          <w:shd w:val="clear" w:color="auto" w:fill="FFFFFF"/>
        </w:rPr>
        <w:t>基</w:t>
      </w:r>
      <w:r>
        <w:rPr>
          <w:rFonts w:cs="Times New Roman"/>
          <w:color w:val="000000"/>
          <w:sz w:val="32"/>
          <w:szCs w:val="32"/>
          <w:shd w:val="clear" w:color="auto" w:fill="FFFFFF"/>
        </w:rPr>
        <w:t>础设施，</w:t>
      </w:r>
      <w:r>
        <w:rPr>
          <w:rFonts w:hint="eastAsia" w:cs="Times New Roman"/>
          <w:color w:val="000000"/>
          <w:sz w:val="32"/>
          <w:szCs w:val="32"/>
          <w:shd w:val="clear" w:color="auto" w:fill="FFFFFF"/>
          <w:lang w:eastAsia="zh-CN"/>
        </w:rPr>
        <w:t>推进化工园区“五个一体化”</w:t>
      </w:r>
      <w:r>
        <w:rPr>
          <w:rStyle w:val="37"/>
          <w:rFonts w:hint="eastAsia" w:cs="Times New Roman"/>
          <w:color w:val="000000"/>
          <w:sz w:val="32"/>
          <w:szCs w:val="32"/>
          <w:shd w:val="clear" w:color="auto" w:fill="FFFFFF"/>
          <w:lang w:eastAsia="zh-CN"/>
        </w:rPr>
        <w:footnoteReference w:id="12"/>
      </w:r>
      <w:r>
        <w:rPr>
          <w:rFonts w:hint="eastAsia" w:cs="Times New Roman"/>
          <w:color w:val="000000"/>
          <w:sz w:val="32"/>
          <w:szCs w:val="32"/>
          <w:shd w:val="clear" w:color="auto" w:fill="FFFFFF"/>
          <w:lang w:eastAsia="zh-CN"/>
        </w:rPr>
        <w:t>建设，着力提升园区承载能力。</w:t>
      </w:r>
      <w:r>
        <w:rPr>
          <w:rFonts w:cs="Times New Roman"/>
          <w:sz w:val="32"/>
          <w:szCs w:val="32"/>
        </w:rPr>
        <w:t>加快园区330KV、110KV等电力基础设施建设，保障企业用电需求。</w:t>
      </w:r>
      <w:r>
        <w:rPr>
          <w:rFonts w:cs="Times New Roman"/>
          <w:sz w:val="32"/>
          <w:szCs w:val="32"/>
          <w:shd w:val="clear" w:color="auto" w:fill="FFFFFF"/>
        </w:rPr>
        <w:t>建设园区公用</w:t>
      </w:r>
      <w:r>
        <w:rPr>
          <w:rFonts w:hint="eastAsia" w:cs="Times New Roman"/>
          <w:sz w:val="32"/>
          <w:szCs w:val="32"/>
          <w:shd w:val="clear" w:color="auto" w:fill="FFFFFF"/>
          <w:lang w:eastAsia="zh-CN"/>
        </w:rPr>
        <w:t>动力岛</w:t>
      </w:r>
      <w:r>
        <w:rPr>
          <w:rFonts w:cs="Times New Roman"/>
          <w:sz w:val="32"/>
          <w:szCs w:val="32"/>
          <w:shd w:val="clear" w:color="auto" w:fill="FFFFFF"/>
        </w:rPr>
        <w:t>、</w:t>
      </w:r>
      <w:r>
        <w:rPr>
          <w:rFonts w:cs="Times New Roman"/>
          <w:color w:val="000000"/>
          <w:sz w:val="32"/>
          <w:szCs w:val="32"/>
          <w:shd w:val="clear" w:color="auto" w:fill="FFFFFF"/>
        </w:rPr>
        <w:t>废弃物集中处置等资源综合利用平台。</w:t>
      </w:r>
      <w:r>
        <w:rPr>
          <w:rFonts w:cs="Times New Roman"/>
          <w:sz w:val="32"/>
          <w:szCs w:val="32"/>
        </w:rPr>
        <w:t>启动实施高新区两场二期工程，</w:t>
      </w:r>
      <w:r>
        <w:rPr>
          <w:rFonts w:cs="Times New Roman"/>
          <w:color w:val="000000"/>
          <w:sz w:val="32"/>
          <w:szCs w:val="32"/>
          <w:shd w:val="clear" w:color="auto" w:fill="FFFFFF"/>
        </w:rPr>
        <w:t>建设兰炭产业园区污水处理厂，</w:t>
      </w:r>
      <w:r>
        <w:rPr>
          <w:rFonts w:cs="Times New Roman"/>
          <w:sz w:val="32"/>
          <w:szCs w:val="32"/>
          <w:shd w:val="clear" w:color="auto" w:fill="FFFFFF"/>
        </w:rPr>
        <w:t>确保固废处理率、污水集中处理率达100%。</w:t>
      </w:r>
    </w:p>
    <w:p>
      <w:pPr>
        <w:pStyle w:val="10"/>
        <w:spacing w:line="576" w:lineRule="exact"/>
        <w:ind w:firstLine="640"/>
        <w:jc w:val="both"/>
        <w:rPr>
          <w:rFonts w:cs="Times New Roman"/>
          <w:color w:val="000000"/>
          <w:sz w:val="32"/>
          <w:szCs w:val="32"/>
          <w:shd w:val="clear" w:color="auto" w:fill="FFFFFF"/>
        </w:rPr>
      </w:pPr>
      <w:r>
        <w:rPr>
          <w:rFonts w:cs="Times New Roman"/>
          <w:b/>
          <w:bCs/>
          <w:color w:val="000000"/>
          <w:sz w:val="32"/>
          <w:szCs w:val="32"/>
          <w:shd w:val="clear" w:color="auto" w:fill="FFFFFF"/>
        </w:rPr>
        <w:t>强化镇街基础设施建设。</w:t>
      </w:r>
      <w:r>
        <w:rPr>
          <w:rFonts w:cs="Times New Roman"/>
          <w:color w:val="000000"/>
          <w:sz w:val="32"/>
          <w:szCs w:val="32"/>
          <w:shd w:val="clear" w:color="auto" w:fill="FFFFFF"/>
        </w:rPr>
        <w:t>加大镇街市政道路基础建设，打造美丽宜居镇街。促进镇街公共服务提标扩面，合理布局医疗卫生、教育、养老、文体等公共服务设施。推进集中供热</w:t>
      </w:r>
      <w:r>
        <w:rPr>
          <w:rFonts w:hint="eastAsia" w:cs="Times New Roman"/>
          <w:color w:val="000000"/>
          <w:sz w:val="32"/>
          <w:szCs w:val="32"/>
          <w:shd w:val="clear" w:color="auto" w:fill="FFFFFF"/>
        </w:rPr>
        <w:t>、供气</w:t>
      </w:r>
      <w:r>
        <w:rPr>
          <w:rFonts w:cs="Times New Roman"/>
          <w:color w:val="000000"/>
          <w:sz w:val="32"/>
          <w:szCs w:val="32"/>
          <w:shd w:val="clear" w:color="auto" w:fill="FFFFFF"/>
        </w:rPr>
        <w:t>向镇街延伸，鼓励有条件的镇街实施热电联产集中供热</w:t>
      </w:r>
      <w:r>
        <w:rPr>
          <w:rFonts w:hint="eastAsia" w:cs="Times New Roman"/>
          <w:color w:val="000000"/>
          <w:sz w:val="32"/>
          <w:szCs w:val="32"/>
          <w:shd w:val="clear" w:color="auto" w:fill="FFFFFF"/>
        </w:rPr>
        <w:t>、</w:t>
      </w:r>
      <w:r>
        <w:rPr>
          <w:rFonts w:cs="Times New Roman"/>
          <w:color w:val="000000"/>
          <w:sz w:val="32"/>
          <w:szCs w:val="32"/>
          <w:shd w:val="clear" w:color="auto" w:fill="FFFFFF"/>
        </w:rPr>
        <w:t>气化工程。完善镇街垃圾、污水无害化处理设施</w:t>
      </w:r>
      <w:r>
        <w:rPr>
          <w:rFonts w:hint="eastAsia" w:cs="Times New Roman"/>
          <w:color w:val="000000"/>
          <w:sz w:val="32"/>
          <w:szCs w:val="32"/>
          <w:shd w:val="clear" w:color="auto" w:fill="FFFFFF"/>
        </w:rPr>
        <w:t>。</w:t>
      </w:r>
      <w:r>
        <w:rPr>
          <w:rFonts w:cs="Times New Roman"/>
          <w:color w:val="000000"/>
          <w:sz w:val="32"/>
          <w:szCs w:val="32"/>
          <w:shd w:val="clear" w:color="auto" w:fill="FFFFFF"/>
        </w:rPr>
        <w:t>“十四五”期间实现镇街生活污水、垃圾分类管控全覆盖。</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30" w:name="_Toc21773"/>
      <w:r>
        <w:rPr>
          <w:rFonts w:hint="eastAsia" w:ascii="楷体_GB2312" w:hAnsi="楷体_GB2312" w:eastAsia="楷体_GB2312" w:cs="楷体_GB2312"/>
          <w:bCs/>
          <w:sz w:val="32"/>
          <w:szCs w:val="32"/>
        </w:rPr>
        <w:t>第五节 加强新型基础设施建设</w:t>
      </w:r>
      <w:bookmarkEnd w:id="30"/>
    </w:p>
    <w:p>
      <w:pPr>
        <w:keepNext w:val="0"/>
        <w:keepLines w:val="0"/>
        <w:pageBreakBefore w:val="0"/>
        <w:kinsoku/>
        <w:wordWrap/>
        <w:overflowPunct/>
        <w:topLinePunct w:val="0"/>
        <w:autoSpaceDE/>
        <w:autoSpaceDN/>
        <w:bidi w:val="0"/>
        <w:adjustRightInd w:val="0"/>
        <w:snapToGrid w:val="0"/>
        <w:spacing w:line="576" w:lineRule="exact"/>
        <w:ind w:firstLine="640"/>
        <w:jc w:val="both"/>
        <w:textAlignment w:val="auto"/>
        <w:rPr>
          <w:rFonts w:cs="Times New Roman"/>
          <w:color w:val="000000"/>
          <w:sz w:val="32"/>
          <w:szCs w:val="32"/>
          <w:lang w:bidi="ar"/>
        </w:rPr>
      </w:pPr>
      <w:r>
        <w:rPr>
          <w:rFonts w:cs="Times New Roman"/>
          <w:b/>
          <w:bCs/>
          <w:color w:val="000000"/>
          <w:sz w:val="32"/>
          <w:szCs w:val="32"/>
          <w:shd w:val="clear" w:color="auto" w:fill="FFFFFF"/>
        </w:rPr>
        <w:t>5G网络。</w:t>
      </w:r>
      <w:r>
        <w:rPr>
          <w:rFonts w:cs="Times New Roman"/>
          <w:color w:val="000000"/>
          <w:sz w:val="32"/>
          <w:szCs w:val="32"/>
          <w:lang w:bidi="ar"/>
        </w:rPr>
        <w:t>拓展商用和工业应用场景，在城区全面部署IPV6，提高千兆及以上光纤接入能力。统筹部署5G基站，新建5G基站</w:t>
      </w:r>
      <w:r>
        <w:rPr>
          <w:rFonts w:hint="eastAsia" w:cs="Times New Roman"/>
          <w:color w:val="000000"/>
          <w:sz w:val="32"/>
          <w:szCs w:val="32"/>
          <w:lang w:val="en-US" w:eastAsia="zh-CN" w:bidi="ar"/>
        </w:rPr>
        <w:t>3</w:t>
      </w:r>
      <w:r>
        <w:rPr>
          <w:rFonts w:cs="Times New Roman"/>
          <w:color w:val="000000"/>
          <w:sz w:val="32"/>
          <w:szCs w:val="32"/>
          <w:lang w:bidi="ar"/>
        </w:rPr>
        <w:t>万个，实现城区、产业园区、重点镇、国省干道和旅游景区连续覆盖。</w:t>
      </w:r>
    </w:p>
    <w:p>
      <w:pPr>
        <w:keepNext w:val="0"/>
        <w:keepLines w:val="0"/>
        <w:pageBreakBefore w:val="0"/>
        <w:kinsoku/>
        <w:wordWrap/>
        <w:overflowPunct/>
        <w:topLinePunct w:val="0"/>
        <w:autoSpaceDE/>
        <w:autoSpaceDN/>
        <w:bidi w:val="0"/>
        <w:adjustRightInd w:val="0"/>
        <w:snapToGrid w:val="0"/>
        <w:spacing w:line="576" w:lineRule="exact"/>
        <w:ind w:firstLine="640"/>
        <w:jc w:val="both"/>
        <w:textAlignment w:val="auto"/>
        <w:rPr>
          <w:rFonts w:cs="Times New Roman"/>
          <w:color w:val="000000"/>
          <w:sz w:val="32"/>
          <w:szCs w:val="32"/>
          <w:lang w:bidi="ar"/>
        </w:rPr>
      </w:pPr>
      <w:r>
        <w:rPr>
          <w:rFonts w:cs="Times New Roman"/>
          <w:b/>
          <w:bCs/>
          <w:color w:val="000000"/>
          <w:sz w:val="32"/>
          <w:szCs w:val="32"/>
          <w:shd w:val="clear" w:color="auto" w:fill="FFFFFF"/>
        </w:rPr>
        <w:t>物联网和工业互联网。</w:t>
      </w:r>
      <w:r>
        <w:rPr>
          <w:rFonts w:cs="Times New Roman"/>
          <w:color w:val="000000"/>
          <w:sz w:val="32"/>
          <w:szCs w:val="32"/>
          <w:lang w:bidi="ar"/>
        </w:rPr>
        <w:t>依托5G、窄带物联网等接入技术，建设物联网和工业互联网基础设施，在能源化工、现代农业等领域率先推进泛在感知设施示范应用。</w:t>
      </w:r>
      <w:r>
        <w:rPr>
          <w:rFonts w:hint="eastAsia" w:cs="Times New Roman"/>
          <w:color w:val="000000"/>
          <w:sz w:val="32"/>
          <w:szCs w:val="32"/>
          <w:lang w:bidi="ar"/>
        </w:rPr>
        <w:t>实施</w:t>
      </w:r>
      <w:r>
        <w:rPr>
          <w:rFonts w:cs="Times New Roman"/>
          <w:color w:val="000000"/>
          <w:sz w:val="32"/>
          <w:szCs w:val="32"/>
          <w:lang w:bidi="ar"/>
        </w:rPr>
        <w:t>煤矿、园区、</w:t>
      </w:r>
      <w:r>
        <w:rPr>
          <w:rFonts w:hint="eastAsia" w:cs="Times New Roman"/>
          <w:color w:val="000000"/>
          <w:sz w:val="32"/>
          <w:szCs w:val="32"/>
          <w:lang w:bidi="ar"/>
        </w:rPr>
        <w:t>社</w:t>
      </w:r>
      <w:r>
        <w:rPr>
          <w:rFonts w:cs="Times New Roman"/>
          <w:color w:val="000000"/>
          <w:sz w:val="32"/>
          <w:szCs w:val="32"/>
          <w:lang w:bidi="ar"/>
        </w:rPr>
        <w:t>区、物流等智</w:t>
      </w:r>
      <w:r>
        <w:rPr>
          <w:rFonts w:hint="eastAsia" w:cs="Times New Roman"/>
          <w:color w:val="000000"/>
          <w:sz w:val="32"/>
          <w:szCs w:val="32"/>
          <w:lang w:bidi="ar"/>
        </w:rPr>
        <w:t>慧化工程</w:t>
      </w:r>
      <w:r>
        <w:rPr>
          <w:rFonts w:cs="Times New Roman"/>
          <w:color w:val="000000"/>
          <w:sz w:val="32"/>
          <w:szCs w:val="32"/>
          <w:lang w:bidi="ar"/>
        </w:rPr>
        <w:t>，推动企业加快工业设备联网上云、业务系统云化迁移，加快传统产业数字化转型。</w:t>
      </w:r>
      <w:r>
        <w:rPr>
          <w:rFonts w:hint="eastAsia" w:cs="Times New Roman"/>
          <w:color w:val="000000"/>
          <w:sz w:val="32"/>
          <w:szCs w:val="32"/>
          <w:lang w:bidi="ar"/>
        </w:rPr>
        <w:t>建立和完善工业互联网平台体系，推进工业技术软件化，支持鼓励大型企业开展研发设计、生产加工、经营管理、销售服务等集成创新。</w:t>
      </w:r>
    </w:p>
    <w:p>
      <w:pPr>
        <w:pStyle w:val="10"/>
        <w:keepNext w:val="0"/>
        <w:keepLines w:val="0"/>
        <w:pageBreakBefore w:val="0"/>
        <w:kinsoku/>
        <w:wordWrap/>
        <w:overflowPunct/>
        <w:topLinePunct w:val="0"/>
        <w:autoSpaceDE/>
        <w:autoSpaceDN/>
        <w:bidi w:val="0"/>
        <w:adjustRightInd w:val="0"/>
        <w:snapToGrid w:val="0"/>
        <w:spacing w:line="576" w:lineRule="exact"/>
        <w:ind w:firstLine="640"/>
        <w:textAlignment w:val="auto"/>
      </w:pPr>
      <w:r>
        <w:rPr>
          <w:rFonts w:hint="eastAsia" w:cs="Times New Roman"/>
          <w:b/>
          <w:bCs/>
          <w:color w:val="000000"/>
          <w:sz w:val="32"/>
          <w:szCs w:val="32"/>
          <w:lang w:bidi="ar"/>
        </w:rPr>
        <w:t>大数据中心</w:t>
      </w:r>
      <w:r>
        <w:rPr>
          <w:rFonts w:hint="eastAsia" w:cs="Times New Roman"/>
          <w:color w:val="000000"/>
          <w:sz w:val="32"/>
          <w:szCs w:val="32"/>
          <w:lang w:bidi="ar"/>
        </w:rPr>
        <w:t>。</w:t>
      </w:r>
      <w:r>
        <w:rPr>
          <w:rFonts w:hint="eastAsia" w:ascii="仿宋" w:hAnsi="仿宋" w:eastAsia="仿宋" w:cs="仿宋"/>
          <w:sz w:val="32"/>
          <w:szCs w:val="32"/>
        </w:rPr>
        <w:t>推进大数据中心升级改造，</w:t>
      </w:r>
      <w:r>
        <w:rPr>
          <w:rFonts w:hint="eastAsia" w:ascii="仿宋" w:hAnsi="仿宋" w:eastAsia="仿宋" w:cs="仿宋"/>
          <w:sz w:val="32"/>
          <w:szCs w:val="32"/>
          <w:lang w:val="en-US" w:eastAsia="zh-CN"/>
        </w:rPr>
        <w:t>实施</w:t>
      </w:r>
      <w:r>
        <w:rPr>
          <w:rFonts w:hint="eastAsia" w:ascii="仿宋" w:hAnsi="仿宋" w:eastAsia="仿宋" w:cs="仿宋"/>
          <w:sz w:val="32"/>
          <w:szCs w:val="32"/>
        </w:rPr>
        <w:t>云计算、边缘计算、超级计算等多元计算协同发展，构建高效协同的数据处理体系。</w:t>
      </w:r>
      <w:r>
        <w:rPr>
          <w:rFonts w:cs="Times New Roman"/>
          <w:color w:val="000000"/>
          <w:sz w:val="32"/>
          <w:szCs w:val="32"/>
          <w:lang w:bidi="ar"/>
        </w:rPr>
        <w:t>建设统一的公共数据资源开放平台，推动高价值数据“统采共用、分采统用”，支撑重大基础设施、教育、医疗等行业开展大数据及人工智能应用</w:t>
      </w:r>
      <w:r>
        <w:rPr>
          <w:rFonts w:hint="eastAsia" w:cs="Times New Roman"/>
          <w:color w:val="000000"/>
          <w:sz w:val="32"/>
          <w:szCs w:val="32"/>
          <w:lang w:bidi="ar"/>
        </w:rPr>
        <w:t>，打破数据资源信息壁垒、信息孤岛，实现资源共建共享</w:t>
      </w:r>
      <w:r>
        <w:rPr>
          <w:rFonts w:cs="Times New Roman"/>
          <w:color w:val="000000"/>
          <w:sz w:val="32"/>
          <w:szCs w:val="32"/>
          <w:lang w:bidi="ar"/>
        </w:rPr>
        <w:t>。</w:t>
      </w:r>
    </w:p>
    <w:p>
      <w:pPr>
        <w:keepNext w:val="0"/>
        <w:keepLines w:val="0"/>
        <w:pageBreakBefore w:val="0"/>
        <w:kinsoku/>
        <w:wordWrap/>
        <w:overflowPunct/>
        <w:topLinePunct w:val="0"/>
        <w:autoSpaceDE/>
        <w:autoSpaceDN/>
        <w:bidi w:val="0"/>
        <w:adjustRightInd w:val="0"/>
        <w:snapToGrid w:val="0"/>
        <w:spacing w:line="576" w:lineRule="exact"/>
        <w:ind w:firstLine="640"/>
        <w:textAlignment w:val="auto"/>
        <w:rPr>
          <w:rFonts w:cs="Times New Roman"/>
          <w:color w:val="000000"/>
          <w:sz w:val="31"/>
          <w:szCs w:val="31"/>
          <w:lang w:bidi="ar"/>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cs="Times New Roman"/>
          <w:b/>
          <w:bCs/>
          <w:color w:val="000000"/>
          <w:sz w:val="32"/>
          <w:szCs w:val="32"/>
          <w:shd w:val="clear" w:color="auto" w:fill="FFFFFF"/>
        </w:rPr>
        <w:t>充电桩。</w:t>
      </w:r>
      <w:r>
        <w:rPr>
          <w:rFonts w:cs="Times New Roman"/>
          <w:color w:val="000000"/>
          <w:sz w:val="31"/>
          <w:szCs w:val="31"/>
          <w:lang w:bidi="ar"/>
        </w:rPr>
        <w:t>以高速公路服务区、国省干道为基础，以产业园区、重点镇街为节点，分类建设充电桩，构建全域充电网络。</w:t>
      </w:r>
      <w:r>
        <w:rPr>
          <w:rFonts w:hint="eastAsia" w:cs="Times New Roman"/>
          <w:color w:val="000000"/>
          <w:sz w:val="31"/>
          <w:szCs w:val="31"/>
          <w:lang w:bidi="ar"/>
        </w:rPr>
        <w:t>到2025年，布局充电桩</w:t>
      </w:r>
      <w:r>
        <w:rPr>
          <w:rFonts w:hint="eastAsia" w:cs="Times New Roman"/>
          <w:color w:val="000000"/>
          <w:sz w:val="31"/>
          <w:szCs w:val="31"/>
          <w:lang w:val="en-US" w:eastAsia="zh-CN" w:bidi="ar"/>
        </w:rPr>
        <w:t>50</w:t>
      </w:r>
      <w:r>
        <w:rPr>
          <w:rFonts w:hint="eastAsia" w:cs="Times New Roman"/>
          <w:color w:val="000000"/>
          <w:sz w:val="31"/>
          <w:szCs w:val="31"/>
          <w:lang w:bidi="ar"/>
        </w:rPr>
        <w:t>处。</w:t>
      </w:r>
    </w:p>
    <w:p>
      <w:pPr>
        <w:pStyle w:val="3"/>
        <w:ind w:left="0" w:firstLine="0" w:firstLineChars="0"/>
        <w:jc w:val="center"/>
        <w:rPr>
          <w:rFonts w:hint="default" w:ascii="Times New Roman" w:hAnsi="Times New Roman" w:eastAsia="方正小标宋简体" w:cs="Times New Roman"/>
          <w:w w:val="85"/>
          <w:sz w:val="44"/>
          <w:szCs w:val="44"/>
          <w:lang w:val="en-US" w:eastAsia="zh-CN"/>
        </w:rPr>
      </w:pPr>
      <w:bookmarkStart w:id="31" w:name="_Toc12692"/>
      <w:bookmarkStart w:id="32" w:name="_Toc31349"/>
      <w:r>
        <w:rPr>
          <w:rFonts w:ascii="Times New Roman" w:hAnsi="Times New Roman" w:eastAsia="方正小标宋简体" w:cs="Times New Roman"/>
          <w:w w:val="85"/>
          <w:sz w:val="44"/>
          <w:szCs w:val="44"/>
        </w:rPr>
        <w:t xml:space="preserve">第七章 </w:t>
      </w:r>
      <w:r>
        <w:rPr>
          <w:rFonts w:hint="eastAsia" w:ascii="Times New Roman" w:hAnsi="Times New Roman" w:eastAsia="方正小标宋简体" w:cs="Times New Roman"/>
          <w:w w:val="85"/>
          <w:sz w:val="44"/>
          <w:szCs w:val="44"/>
          <w:lang w:val="en-US" w:eastAsia="zh-CN"/>
        </w:rPr>
        <w:t>全面深化改革</w:t>
      </w:r>
      <w:r>
        <w:rPr>
          <w:rFonts w:hint="eastAsia" w:ascii="Times New Roman" w:hAnsi="Times New Roman" w:eastAsia="方正小标宋简体" w:cs="Times New Roman"/>
          <w:w w:val="85"/>
          <w:sz w:val="44"/>
          <w:szCs w:val="44"/>
        </w:rPr>
        <w:t>，</w:t>
      </w:r>
      <w:bookmarkEnd w:id="31"/>
      <w:r>
        <w:rPr>
          <w:rFonts w:hint="eastAsia" w:ascii="Times New Roman" w:hAnsi="Times New Roman" w:eastAsia="方正小标宋简体" w:cs="Times New Roman"/>
          <w:w w:val="85"/>
          <w:sz w:val="44"/>
          <w:szCs w:val="44"/>
          <w:lang w:val="en-US" w:eastAsia="zh-CN"/>
        </w:rPr>
        <w:t>释放体制机制变革的新红利</w:t>
      </w:r>
      <w:bookmarkEnd w:id="32"/>
    </w:p>
    <w:p>
      <w:pPr>
        <w:pStyle w:val="10"/>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eastAsia="楷体_GB2312" w:cs="Times New Roman"/>
          <w:sz w:val="32"/>
          <w:szCs w:val="32"/>
        </w:rPr>
      </w:pPr>
      <w:r>
        <w:rPr>
          <w:rFonts w:cs="Times New Roman"/>
          <w:sz w:val="32"/>
          <w:szCs w:val="32"/>
        </w:rPr>
        <w:t>坚持在更高起点、更大范围、更深层次上推进重点领域和关键环节</w:t>
      </w:r>
      <w:r>
        <w:rPr>
          <w:rFonts w:hint="eastAsia" w:cs="Times New Roman"/>
          <w:sz w:val="32"/>
          <w:szCs w:val="32"/>
        </w:rPr>
        <w:t>改革</w:t>
      </w:r>
      <w:r>
        <w:rPr>
          <w:rFonts w:cs="Times New Roman"/>
          <w:sz w:val="32"/>
          <w:szCs w:val="32"/>
        </w:rPr>
        <w:t>，充分发挥市场在资源配置中的决定性作用，破除体制机制</w:t>
      </w:r>
      <w:r>
        <w:rPr>
          <w:rFonts w:hint="eastAsia" w:cs="Times New Roman"/>
          <w:sz w:val="32"/>
          <w:szCs w:val="32"/>
          <w:lang w:eastAsia="zh-CN"/>
        </w:rPr>
        <w:t>障碍</w:t>
      </w:r>
      <w:r>
        <w:rPr>
          <w:rFonts w:cs="Times New Roman"/>
          <w:sz w:val="32"/>
          <w:szCs w:val="32"/>
        </w:rPr>
        <w:t>，</w:t>
      </w:r>
      <w:r>
        <w:rPr>
          <w:rFonts w:hint="eastAsia" w:cs="Times New Roman"/>
          <w:sz w:val="32"/>
          <w:szCs w:val="32"/>
          <w:lang w:val="en-US" w:eastAsia="zh-CN"/>
        </w:rPr>
        <w:t>突显</w:t>
      </w:r>
      <w:r>
        <w:rPr>
          <w:rFonts w:cs="Times New Roman"/>
          <w:sz w:val="32"/>
          <w:szCs w:val="32"/>
        </w:rPr>
        <w:t>神木经济社会发展新优势。</w:t>
      </w:r>
      <w:bookmarkStart w:id="33" w:name="_Toc21243"/>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34" w:name="_Toc11599"/>
      <w:r>
        <w:rPr>
          <w:rFonts w:hint="eastAsia" w:ascii="楷体_GB2312" w:hAnsi="楷体_GB2312" w:eastAsia="楷体_GB2312" w:cs="楷体_GB2312"/>
          <w:bCs/>
          <w:sz w:val="32"/>
          <w:szCs w:val="32"/>
        </w:rPr>
        <w:t>第一节 推动国资国企改革</w:t>
      </w:r>
      <w:bookmarkEnd w:id="33"/>
      <w:bookmarkEnd w:id="34"/>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color w:val="000000"/>
          <w:sz w:val="32"/>
          <w:szCs w:val="32"/>
        </w:rPr>
      </w:pPr>
      <w:r>
        <w:rPr>
          <w:rFonts w:cs="Times New Roman"/>
          <w:b/>
          <w:bCs/>
          <w:sz w:val="32"/>
          <w:szCs w:val="32"/>
        </w:rPr>
        <w:t>强化国资监管。</w:t>
      </w:r>
      <w:r>
        <w:rPr>
          <w:rFonts w:cs="Times New Roman"/>
          <w:color w:val="000000"/>
          <w:sz w:val="32"/>
          <w:szCs w:val="32"/>
        </w:rPr>
        <w:t>厘清国资监管</w:t>
      </w:r>
      <w:r>
        <w:rPr>
          <w:rFonts w:hint="eastAsia" w:cs="Times New Roman"/>
          <w:color w:val="000000"/>
          <w:sz w:val="32"/>
          <w:szCs w:val="32"/>
          <w:lang w:eastAsia="zh-CN"/>
        </w:rPr>
        <w:t>职责</w:t>
      </w:r>
      <w:r>
        <w:rPr>
          <w:rFonts w:cs="Times New Roman"/>
          <w:color w:val="000000"/>
          <w:sz w:val="32"/>
          <w:szCs w:val="32"/>
        </w:rPr>
        <w:t>边界，出台国资监管权力清单、授权清单，完善“三重一大”“薪酬管理”等监管制度体系，推进国有资产集中统一监管，加速从“管企业”到“管资本”转变。优化国有资本经营目标考核评价体系，完善国有企业考核制度。强化国有资本收益管理，规范企业投资行为，逐步提高国有资本收益上缴公共财政比例，扩大国企保障和改善民生贡献度。</w:t>
      </w:r>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hint="eastAsia" w:eastAsia="仿宋_GB2312" w:cs="Times New Roman"/>
          <w:b/>
          <w:bCs/>
          <w:sz w:val="32"/>
          <w:szCs w:val="32"/>
          <w:lang w:eastAsia="zh-CN"/>
        </w:rPr>
      </w:pPr>
      <w:r>
        <w:rPr>
          <w:rFonts w:hint="eastAsia" w:cs="Times New Roman"/>
          <w:b/>
          <w:bCs/>
          <w:sz w:val="32"/>
          <w:szCs w:val="32"/>
          <w:lang w:eastAsia="zh-CN"/>
        </w:rPr>
        <w:t>强化地企合作。</w:t>
      </w:r>
      <w:r>
        <w:rPr>
          <w:rFonts w:hint="eastAsia" w:cs="Times New Roman"/>
          <w:color w:val="000000"/>
          <w:sz w:val="32"/>
          <w:szCs w:val="32"/>
          <w:lang w:eastAsia="zh-CN"/>
        </w:rPr>
        <w:t>借助中省企业科创、资本优势，在神木布局</w:t>
      </w:r>
      <w:r>
        <w:rPr>
          <w:rFonts w:hint="eastAsia" w:cs="Times New Roman"/>
          <w:color w:val="000000"/>
          <w:sz w:val="32"/>
          <w:szCs w:val="32"/>
          <w:lang w:val="en-US" w:eastAsia="zh-CN"/>
        </w:rPr>
        <w:t>固废综合利用、金属镁加工冶炼等科创中心，合作推进采煤沉陷区治理、建设后勤服务基地等事宜</w:t>
      </w:r>
      <w:r>
        <w:rPr>
          <w:rFonts w:hint="eastAsia" w:cs="Times New Roman"/>
          <w:color w:val="000000"/>
          <w:sz w:val="32"/>
          <w:szCs w:val="32"/>
          <w:lang w:eastAsia="zh-CN"/>
        </w:rPr>
        <w:t>。推进矿业权清理整顿，加快中省企业配套转化项目落地。与陕</w:t>
      </w:r>
      <w:r>
        <w:rPr>
          <w:rFonts w:hint="eastAsia" w:ascii="宋体"/>
          <w:sz w:val="32"/>
          <w:szCs w:val="32"/>
          <w:lang w:eastAsia="zh-CN"/>
        </w:rPr>
        <w:t>煤等省属企业合作建设榆神四期矿井，落实小保当、曹家滩等矿井参股事宜。与中石油、中海油合作共建输气管道，参与神木境内天然气储运售运营。</w:t>
      </w:r>
      <w:r>
        <w:rPr>
          <w:rFonts w:hint="eastAsia" w:ascii="宋体"/>
          <w:sz w:val="32"/>
          <w:szCs w:val="32"/>
        </w:rPr>
        <w:t>鼓励中省企业与</w:t>
      </w:r>
      <w:r>
        <w:rPr>
          <w:rFonts w:hint="eastAsia" w:ascii="宋体"/>
          <w:sz w:val="32"/>
          <w:szCs w:val="32"/>
          <w:lang w:val="en-US" w:eastAsia="zh-CN"/>
        </w:rPr>
        <w:t>市</w:t>
      </w:r>
      <w:r>
        <w:rPr>
          <w:rFonts w:hint="eastAsia" w:ascii="宋体"/>
          <w:sz w:val="32"/>
          <w:szCs w:val="32"/>
        </w:rPr>
        <w:t>属企业合资、合</w:t>
      </w:r>
      <w:r>
        <w:rPr>
          <w:rFonts w:hint="eastAsia" w:ascii="宋体"/>
          <w:sz w:val="32"/>
          <w:szCs w:val="32"/>
          <w:lang w:eastAsia="zh-CN"/>
        </w:rPr>
        <w:t>作发展混合所有制经济。</w:t>
      </w:r>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b/>
          <w:bCs/>
          <w:sz w:val="32"/>
          <w:szCs w:val="32"/>
        </w:rPr>
        <w:t>深化国企改革。</w:t>
      </w:r>
      <w:r>
        <w:rPr>
          <w:rFonts w:hint="eastAsia" w:cs="Times New Roman"/>
          <w:color w:val="000000"/>
          <w:sz w:val="32"/>
          <w:szCs w:val="32"/>
          <w:lang w:eastAsia="zh-CN"/>
        </w:rPr>
        <w:t>坚持政企分开、政资分开，改革国有资本授权经营体制，优化国有资本布局结构。强化独立法人地位，健全市场化经营体制，建立现代企业制度。坚持“同业归并、培育龙头”原则，加快国有企业整合重组，市属国有企业控制在14家左右。推行国企市场化经营，完善国企薪酬制度，推动具备条件的国有企业整体上市。开展“一企一策”混合所有制改革，</w:t>
      </w:r>
      <w:r>
        <w:rPr>
          <w:rFonts w:hint="eastAsia" w:cs="Times New Roman"/>
          <w:color w:val="000000"/>
          <w:sz w:val="32"/>
          <w:szCs w:val="32"/>
          <w:lang w:val="en-US" w:eastAsia="zh-CN"/>
        </w:rPr>
        <w:t>探索国有资本参股神木农商银行，</w:t>
      </w:r>
      <w:r>
        <w:rPr>
          <w:rFonts w:hint="eastAsia" w:cs="Times New Roman"/>
          <w:color w:val="000000"/>
          <w:sz w:val="32"/>
          <w:szCs w:val="32"/>
          <w:lang w:eastAsia="zh-CN"/>
        </w:rPr>
        <w:t>“十四五”期间新增5家混合所有制企业。</w:t>
      </w:r>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hint="eastAsia" w:cs="Times New Roman"/>
          <w:b/>
          <w:bCs/>
          <w:sz w:val="32"/>
          <w:szCs w:val="32"/>
        </w:rPr>
        <w:t>打造国有资本两张王牌。</w:t>
      </w:r>
      <w:r>
        <w:rPr>
          <w:rFonts w:hint="eastAsia" w:cs="Times New Roman"/>
          <w:sz w:val="32"/>
          <w:szCs w:val="32"/>
        </w:rPr>
        <w:t>坚持能源集团</w:t>
      </w:r>
      <w:r>
        <w:rPr>
          <w:rFonts w:cs="Times New Roman"/>
          <w:sz w:val="32"/>
          <w:szCs w:val="32"/>
        </w:rPr>
        <w:t>、国有资本投资</w:t>
      </w:r>
      <w:r>
        <w:rPr>
          <w:rFonts w:hint="eastAsia" w:cs="Times New Roman"/>
          <w:sz w:val="32"/>
          <w:szCs w:val="32"/>
        </w:rPr>
        <w:t>运营</w:t>
      </w:r>
      <w:r>
        <w:rPr>
          <w:rFonts w:cs="Times New Roman"/>
          <w:sz w:val="32"/>
          <w:szCs w:val="32"/>
        </w:rPr>
        <w:t>集团</w:t>
      </w:r>
      <w:r>
        <w:rPr>
          <w:rFonts w:hint="eastAsia" w:cs="Times New Roman"/>
          <w:sz w:val="32"/>
          <w:szCs w:val="32"/>
        </w:rPr>
        <w:t>双轮驱动。按照“建大矿、促转化”的思路，整合能源集团资本资源，打造千万吨级矿井，</w:t>
      </w:r>
      <w:r>
        <w:rPr>
          <w:rFonts w:cs="Times New Roman"/>
          <w:sz w:val="32"/>
          <w:szCs w:val="32"/>
        </w:rPr>
        <w:t>建设能化标杆项目，延伸煤化工产业链条</w:t>
      </w:r>
      <w:r>
        <w:rPr>
          <w:rFonts w:hint="eastAsia" w:cs="Times New Roman"/>
          <w:sz w:val="32"/>
          <w:szCs w:val="32"/>
        </w:rPr>
        <w:t>，形成</w:t>
      </w:r>
      <w:r>
        <w:rPr>
          <w:rFonts w:hint="eastAsia" w:cs="Times New Roman"/>
          <w:sz w:val="32"/>
          <w:szCs w:val="32"/>
          <w:lang w:val="en-US" w:eastAsia="zh-CN"/>
        </w:rPr>
        <w:t>煤炭生产</w:t>
      </w:r>
      <w:r>
        <w:rPr>
          <w:rFonts w:hint="eastAsia" w:cs="Times New Roman"/>
          <w:sz w:val="32"/>
          <w:szCs w:val="32"/>
        </w:rPr>
        <w:t>、</w:t>
      </w:r>
      <w:r>
        <w:rPr>
          <w:rFonts w:hint="eastAsia" w:cs="Times New Roman"/>
          <w:sz w:val="32"/>
          <w:szCs w:val="32"/>
          <w:lang w:val="en-US" w:eastAsia="zh-CN"/>
        </w:rPr>
        <w:t>集运、销售、生态治理、电力、化工等六</w:t>
      </w:r>
      <w:r>
        <w:rPr>
          <w:rFonts w:hint="eastAsia" w:cs="Times New Roman"/>
          <w:sz w:val="32"/>
          <w:szCs w:val="32"/>
        </w:rPr>
        <w:t>大板块。</w:t>
      </w:r>
      <w:r>
        <w:rPr>
          <w:rFonts w:cs="Times New Roman"/>
          <w:sz w:val="32"/>
          <w:szCs w:val="32"/>
        </w:rPr>
        <w:t>做优做活神木国有资本投资运营集团，重点发展投资、基金、担保、交易、租赁等五大板块，</w:t>
      </w:r>
      <w:r>
        <w:rPr>
          <w:rFonts w:hint="eastAsia" w:cs="Times New Roman"/>
          <w:sz w:val="32"/>
          <w:szCs w:val="32"/>
          <w:lang w:eastAsia="zh-CN"/>
        </w:rPr>
        <w:t>引入专业资本团队，推动国有资本与国内头部资本合作抱团，借船出海，共创共赢，争取</w:t>
      </w:r>
      <w:r>
        <w:rPr>
          <w:rFonts w:hint="eastAsia" w:cs="Times New Roman"/>
          <w:sz w:val="32"/>
          <w:szCs w:val="32"/>
        </w:rPr>
        <w:t>推动主体评级达到</w:t>
      </w:r>
      <w:r>
        <w:rPr>
          <w:rFonts w:hint="eastAsia" w:cs="Times New Roman"/>
          <w:sz w:val="32"/>
          <w:szCs w:val="32"/>
          <w:lang w:val="en-US" w:eastAsia="zh-CN"/>
        </w:rPr>
        <w:t>3</w:t>
      </w:r>
      <w:r>
        <w:rPr>
          <w:rFonts w:hint="eastAsia" w:cs="Times New Roman"/>
          <w:sz w:val="32"/>
          <w:szCs w:val="32"/>
        </w:rPr>
        <w:t>A，</w:t>
      </w:r>
      <w:r>
        <w:rPr>
          <w:rFonts w:cs="Times New Roman"/>
          <w:sz w:val="32"/>
          <w:szCs w:val="32"/>
        </w:rPr>
        <w:t>建成全国一流的国有</w:t>
      </w:r>
      <w:r>
        <w:rPr>
          <w:rFonts w:hint="eastAsia" w:cs="Times New Roman"/>
          <w:sz w:val="32"/>
          <w:szCs w:val="32"/>
          <w:lang w:eastAsia="zh-CN"/>
        </w:rPr>
        <w:t>投创</w:t>
      </w:r>
      <w:r>
        <w:rPr>
          <w:rFonts w:cs="Times New Roman"/>
          <w:sz w:val="32"/>
          <w:szCs w:val="32"/>
        </w:rPr>
        <w:t>融</w:t>
      </w:r>
      <w:r>
        <w:rPr>
          <w:rFonts w:hint="eastAsia" w:cs="Times New Roman"/>
          <w:sz w:val="32"/>
          <w:szCs w:val="32"/>
          <w:lang w:eastAsia="zh-CN"/>
        </w:rPr>
        <w:t>综合性</w:t>
      </w:r>
      <w:r>
        <w:rPr>
          <w:rFonts w:cs="Times New Roman"/>
          <w:sz w:val="32"/>
          <w:szCs w:val="32"/>
        </w:rPr>
        <w:t>平台。</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35" w:name="_Toc27579"/>
      <w:bookmarkStart w:id="36" w:name="_Toc24757"/>
      <w:r>
        <w:rPr>
          <w:rFonts w:hint="eastAsia" w:ascii="楷体_GB2312" w:hAnsi="楷体_GB2312" w:eastAsia="楷体_GB2312" w:cs="楷体_GB2312"/>
          <w:bCs/>
          <w:sz w:val="32"/>
          <w:szCs w:val="32"/>
        </w:rPr>
        <w:t xml:space="preserve">第二节 </w:t>
      </w:r>
      <w:r>
        <w:rPr>
          <w:rFonts w:hint="eastAsia" w:ascii="楷体_GB2312" w:hAnsi="楷体_GB2312" w:eastAsia="楷体_GB2312" w:cs="楷体_GB2312"/>
          <w:bCs/>
          <w:sz w:val="32"/>
          <w:szCs w:val="32"/>
          <w:lang w:eastAsia="zh-CN"/>
        </w:rPr>
        <w:t>推进资源要素市场化改革</w:t>
      </w:r>
      <w:bookmarkEnd w:id="35"/>
    </w:p>
    <w:p>
      <w:pPr>
        <w:keepNext w:val="0"/>
        <w:keepLines w:val="0"/>
        <w:pageBreakBefore w:val="0"/>
        <w:widowControl/>
        <w:suppressLineNumbers w:val="0"/>
        <w:kinsoku/>
        <w:wordWrap/>
        <w:overflowPunct/>
        <w:topLinePunct w:val="0"/>
        <w:autoSpaceDE/>
        <w:autoSpaceDN/>
        <w:bidi w:val="0"/>
        <w:adjustRightInd w:val="0"/>
        <w:snapToGrid w:val="0"/>
        <w:spacing w:line="576" w:lineRule="exact"/>
        <w:jc w:val="both"/>
        <w:textAlignment w:val="auto"/>
        <w:rPr>
          <w:rFonts w:cs="Times New Roman"/>
          <w:sz w:val="32"/>
          <w:szCs w:val="32"/>
        </w:rPr>
      </w:pPr>
      <w:r>
        <w:rPr>
          <w:rFonts w:hint="eastAsia" w:cs="Times New Roman"/>
          <w:sz w:val="32"/>
          <w:szCs w:val="32"/>
          <w:lang w:val="en-US" w:eastAsia="zh-CN"/>
        </w:rPr>
        <w:t>健全要素市场化运行机制，推进土地、劳动力、资本、技术、数据等要素市场化改革。统筹投资引导基金运营、电力体制改革建设，推动煤炭市场化配置、电力价格市场化等取得实质性进展。深化产业用地市场化配置改革，实行工业用地“标准地”出让、弹性出让、先租后让等模式，盘活存量低效用地。</w:t>
      </w:r>
      <w:r>
        <w:rPr>
          <w:rFonts w:cs="Times New Roman"/>
          <w:sz w:val="32"/>
          <w:szCs w:val="32"/>
          <w:lang w:val="en-US" w:eastAsia="zh-CN"/>
        </w:rPr>
        <w:t>加强改革系统集成协</w:t>
      </w:r>
      <w:r>
        <w:rPr>
          <w:rFonts w:hint="eastAsia" w:cs="Times New Roman"/>
          <w:sz w:val="32"/>
          <w:szCs w:val="32"/>
          <w:lang w:val="en-US" w:eastAsia="zh-CN"/>
        </w:rPr>
        <w:t>同高效，做好重大改革统筹衔接，最大限度提高改革整体效能。</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37" w:name="_Toc11005"/>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三</w:t>
      </w:r>
      <w:r>
        <w:rPr>
          <w:rFonts w:hint="eastAsia" w:ascii="楷体_GB2312" w:hAnsi="楷体_GB2312" w:eastAsia="楷体_GB2312" w:cs="楷体_GB2312"/>
          <w:bCs/>
          <w:sz w:val="32"/>
          <w:szCs w:val="32"/>
        </w:rPr>
        <w:t>节 持续优化营商环境</w:t>
      </w:r>
      <w:bookmarkEnd w:id="36"/>
      <w:bookmarkEnd w:id="37"/>
    </w:p>
    <w:p>
      <w:pPr>
        <w:spacing w:line="576" w:lineRule="exact"/>
        <w:ind w:firstLine="640"/>
        <w:jc w:val="both"/>
        <w:rPr>
          <w:rFonts w:hint="eastAsia" w:ascii="仿宋_GB2312" w:hAnsi="仿宋_GB2312" w:eastAsia="仿宋_GB2312" w:cs="仿宋_GB2312"/>
          <w:sz w:val="32"/>
          <w:szCs w:val="32"/>
          <w:lang w:eastAsia="zh-CN"/>
        </w:rPr>
      </w:pPr>
      <w:r>
        <w:rPr>
          <w:rFonts w:cs="Times New Roman"/>
          <w:sz w:val="32"/>
          <w:szCs w:val="32"/>
        </w:rPr>
        <w:t>围绕“企业办事不求人”，深入落实“营商环境体验官”“首席服务官”制度</w:t>
      </w:r>
      <w:r>
        <w:rPr>
          <w:rFonts w:cs="Times New Roman"/>
          <w:color w:val="000000"/>
          <w:sz w:val="32"/>
          <w:szCs w:val="32"/>
          <w:lang w:bidi="ar"/>
        </w:rPr>
        <w:t>，构建透明高效的政务环境。</w:t>
      </w:r>
      <w:r>
        <w:rPr>
          <w:rFonts w:hint="eastAsia" w:ascii="仿宋_GB2312" w:hAnsi="仿宋_GB2312" w:eastAsia="仿宋_GB2312" w:cs="仿宋_GB2312"/>
          <w:sz w:val="32"/>
          <w:szCs w:val="32"/>
          <w:lang w:eastAsia="zh-CN"/>
        </w:rPr>
        <w:t>加快推进相对集中行政许可权改革，强化审批业务培训，</w:t>
      </w:r>
      <w:r>
        <w:rPr>
          <w:rFonts w:hint="eastAsia" w:ascii="仿宋_GB2312" w:hAnsi="仿宋_GB2312" w:cs="仿宋_GB2312"/>
          <w:sz w:val="32"/>
          <w:szCs w:val="32"/>
          <w:lang w:val="en-US" w:eastAsia="zh-CN"/>
        </w:rPr>
        <w:t>高效、规范</w:t>
      </w:r>
      <w:r>
        <w:rPr>
          <w:rFonts w:hint="eastAsia" w:ascii="仿宋_GB2312" w:hAnsi="仿宋_GB2312" w:eastAsia="仿宋_GB2312" w:cs="仿宋_GB2312"/>
          <w:sz w:val="32"/>
          <w:szCs w:val="32"/>
          <w:lang w:eastAsia="zh-CN"/>
        </w:rPr>
        <w:t>承接审批事项。健全审批管理机制，细化审批标准，合并审批事项，减化审批流程，压缩审批时限和自由裁量权。</w:t>
      </w:r>
      <w:r>
        <w:rPr>
          <w:rFonts w:cs="Times New Roman"/>
          <w:sz w:val="32"/>
          <w:szCs w:val="32"/>
        </w:rPr>
        <w:t>建立“网格化”政务服务体系，梳理服务事项“马上办、就近办、一次办</w:t>
      </w:r>
      <w:r>
        <w:rPr>
          <w:rFonts w:hint="eastAsia" w:cs="Times New Roman"/>
          <w:sz w:val="32"/>
          <w:szCs w:val="32"/>
          <w:lang w:eastAsia="zh-CN"/>
        </w:rPr>
        <w:t>、</w:t>
      </w:r>
      <w:r>
        <w:rPr>
          <w:rFonts w:hint="eastAsia" w:cs="Times New Roman"/>
          <w:sz w:val="32"/>
          <w:szCs w:val="32"/>
          <w:lang w:val="en-US" w:eastAsia="zh-CN"/>
        </w:rPr>
        <w:t>网上办</w:t>
      </w:r>
      <w:r>
        <w:rPr>
          <w:rFonts w:cs="Times New Roman"/>
          <w:sz w:val="32"/>
          <w:szCs w:val="32"/>
        </w:rPr>
        <w:t>”清单，</w:t>
      </w:r>
      <w:r>
        <w:rPr>
          <w:rFonts w:hint="eastAsia" w:ascii="仿宋_GB2312" w:hAnsi="仿宋_GB2312" w:eastAsia="仿宋_GB2312" w:cs="仿宋_GB2312"/>
          <w:sz w:val="32"/>
          <w:szCs w:val="32"/>
          <w:lang w:eastAsia="zh-CN"/>
        </w:rPr>
        <w:t>逐步向园区和镇街下放政务服务事项，</w:t>
      </w:r>
      <w:r>
        <w:rPr>
          <w:rFonts w:cs="Times New Roman"/>
          <w:sz w:val="32"/>
          <w:szCs w:val="32"/>
        </w:rPr>
        <w:t>推</w:t>
      </w:r>
      <w:r>
        <w:rPr>
          <w:rFonts w:cs="Times New Roman"/>
          <w:color w:val="000000"/>
          <w:sz w:val="32"/>
          <w:szCs w:val="32"/>
          <w:lang w:bidi="ar"/>
        </w:rPr>
        <w:t>动更多利企便民</w:t>
      </w:r>
      <w:r>
        <w:rPr>
          <w:rFonts w:cs="Times New Roman"/>
          <w:sz w:val="32"/>
          <w:szCs w:val="32"/>
        </w:rPr>
        <w:t>服务事项全市通办，打通服务群众“最后一公里”。</w:t>
      </w:r>
      <w:r>
        <w:rPr>
          <w:rFonts w:hint="eastAsia" w:ascii="仿宋_GB2312" w:hAnsi="仿宋_GB2312" w:eastAsia="仿宋_GB2312" w:cs="仿宋_GB2312"/>
          <w:sz w:val="32"/>
          <w:szCs w:val="32"/>
        </w:rPr>
        <w:t>进一步清理规范各类行政审批中介服务事项，</w:t>
      </w:r>
      <w:r>
        <w:rPr>
          <w:rFonts w:hint="eastAsia" w:ascii="仿宋_GB2312" w:hAnsi="仿宋_GB2312" w:eastAsia="仿宋_GB2312" w:cs="仿宋_GB2312"/>
          <w:sz w:val="32"/>
          <w:szCs w:val="32"/>
          <w:lang w:eastAsia="zh-CN"/>
        </w:rPr>
        <w:t>建立中介服务超市，</w:t>
      </w:r>
      <w:r>
        <w:rPr>
          <w:rFonts w:hint="eastAsia" w:ascii="仿宋_GB2312" w:hAnsi="仿宋_GB2312" w:eastAsia="仿宋_GB2312" w:cs="仿宋_GB2312"/>
          <w:sz w:val="32"/>
          <w:szCs w:val="32"/>
        </w:rPr>
        <w:t>规范中介服务</w:t>
      </w:r>
      <w:r>
        <w:rPr>
          <w:rFonts w:hint="eastAsia" w:ascii="仿宋_GB2312" w:hAnsi="仿宋_GB2312" w:eastAsia="仿宋_GB2312" w:cs="仿宋_GB2312"/>
          <w:sz w:val="32"/>
          <w:szCs w:val="32"/>
          <w:lang w:eastAsia="zh-CN"/>
        </w:rPr>
        <w:t>行为。</w:t>
      </w:r>
      <w:r>
        <w:rPr>
          <w:rFonts w:hint="eastAsia" w:ascii="仿宋_GB2312" w:hAnsi="仿宋_GB2312" w:eastAsia="仿宋_GB2312" w:cs="仿宋_GB2312"/>
          <w:sz w:val="32"/>
          <w:szCs w:val="32"/>
        </w:rPr>
        <w:t>完善“互联网+监管”机制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深入开展“双随机一公开”</w:t>
      </w:r>
      <w:r>
        <w:rPr>
          <w:rStyle w:val="37"/>
          <w:rFonts w:hint="eastAsia" w:ascii="仿宋_GB2312" w:hAnsi="仿宋_GB2312" w:eastAsia="仿宋_GB2312" w:cs="仿宋_GB2312"/>
          <w:sz w:val="32"/>
          <w:szCs w:val="32"/>
        </w:rPr>
        <w:footnoteReference w:id="13"/>
      </w:r>
      <w:r>
        <w:rPr>
          <w:rFonts w:hint="eastAsia" w:ascii="仿宋_GB2312" w:hAnsi="仿宋_GB2312" w:eastAsia="仿宋_GB2312" w:cs="仿宋_GB2312"/>
          <w:sz w:val="32"/>
          <w:szCs w:val="32"/>
        </w:rPr>
        <w:t>跨部门综合执法。</w:t>
      </w:r>
      <w:r>
        <w:rPr>
          <w:rFonts w:hint="eastAsia" w:ascii="仿宋_GB2312" w:hAnsi="仿宋_GB2312" w:eastAsia="仿宋_GB2312" w:cs="仿宋_GB2312"/>
          <w:sz w:val="32"/>
          <w:szCs w:val="32"/>
          <w:lang w:eastAsia="zh-CN"/>
        </w:rPr>
        <w:t>新建市民大厦，完善政务服务大厅功能</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eastAsia="zh-CN"/>
        </w:rPr>
        <w:t>提升政务服务水平。</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38" w:name="_Toc1256"/>
      <w:bookmarkStart w:id="39" w:name="_Toc16217"/>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四</w:t>
      </w:r>
      <w:r>
        <w:rPr>
          <w:rFonts w:hint="eastAsia" w:ascii="楷体_GB2312" w:hAnsi="楷体_GB2312" w:eastAsia="楷体_GB2312" w:cs="楷体_GB2312"/>
          <w:bCs/>
          <w:sz w:val="32"/>
          <w:szCs w:val="32"/>
        </w:rPr>
        <w:t>节 深入推进园区改革</w:t>
      </w:r>
      <w:bookmarkEnd w:id="38"/>
      <w:bookmarkEnd w:id="39"/>
    </w:p>
    <w:p>
      <w:pPr>
        <w:spacing w:line="576" w:lineRule="exact"/>
        <w:ind w:firstLine="640"/>
        <w:jc w:val="both"/>
        <w:rPr>
          <w:rFonts w:hint="eastAsia" w:eastAsia="仿宋_GB2312" w:cs="Times New Roman"/>
          <w:sz w:val="32"/>
          <w:szCs w:val="32"/>
          <w:lang w:eastAsia="zh-CN"/>
        </w:rPr>
      </w:pPr>
      <w:r>
        <w:rPr>
          <w:rFonts w:hint="eastAsia" w:cs="Times New Roman"/>
          <w:color w:val="000000"/>
          <w:sz w:val="32"/>
          <w:szCs w:val="32"/>
          <w:lang w:bidi="ar"/>
        </w:rPr>
        <w:t>按照一园一策，</w:t>
      </w:r>
      <w:r>
        <w:rPr>
          <w:rFonts w:cs="Times New Roman"/>
          <w:color w:val="000000"/>
          <w:sz w:val="32"/>
          <w:szCs w:val="32"/>
          <w:lang w:bidi="ar"/>
        </w:rPr>
        <w:t>优化园区功能定位和空间布局，明晰主导产业和</w:t>
      </w:r>
      <w:r>
        <w:rPr>
          <w:rFonts w:hint="eastAsia" w:cs="Times New Roman"/>
          <w:color w:val="000000"/>
          <w:sz w:val="32"/>
          <w:szCs w:val="32"/>
          <w:lang w:bidi="ar"/>
        </w:rPr>
        <w:t>发展</w:t>
      </w:r>
      <w:r>
        <w:rPr>
          <w:rFonts w:cs="Times New Roman"/>
          <w:color w:val="000000"/>
          <w:sz w:val="32"/>
          <w:szCs w:val="32"/>
          <w:lang w:bidi="ar"/>
        </w:rPr>
        <w:t>规模</w:t>
      </w:r>
      <w:r>
        <w:rPr>
          <w:rFonts w:hint="eastAsia" w:cs="Times New Roman"/>
          <w:color w:val="000000"/>
          <w:sz w:val="32"/>
          <w:szCs w:val="32"/>
          <w:lang w:bidi="ar"/>
        </w:rPr>
        <w:t>。</w:t>
      </w:r>
      <w:r>
        <w:rPr>
          <w:rFonts w:cs="Times New Roman"/>
          <w:color w:val="000000"/>
          <w:sz w:val="32"/>
          <w:szCs w:val="32"/>
          <w:lang w:bidi="ar"/>
        </w:rPr>
        <w:t>积极推进高新区</w:t>
      </w:r>
      <w:bookmarkStart w:id="40" w:name="OLE_LINK1"/>
      <w:r>
        <w:rPr>
          <w:rFonts w:cs="Times New Roman"/>
          <w:color w:val="000000"/>
          <w:sz w:val="32"/>
          <w:szCs w:val="32"/>
          <w:lang w:bidi="ar"/>
        </w:rPr>
        <w:t>创建国家级高新</w:t>
      </w:r>
      <w:bookmarkEnd w:id="40"/>
      <w:r>
        <w:rPr>
          <w:rFonts w:cs="Times New Roman"/>
          <w:color w:val="000000"/>
          <w:sz w:val="32"/>
          <w:szCs w:val="32"/>
          <w:lang w:bidi="ar"/>
        </w:rPr>
        <w:t>区、经开区创建省级经开区、农业</w:t>
      </w:r>
      <w:r>
        <w:rPr>
          <w:rFonts w:hint="eastAsia" w:cs="Times New Roman"/>
          <w:color w:val="000000"/>
          <w:sz w:val="32"/>
          <w:szCs w:val="32"/>
          <w:lang w:bidi="ar"/>
        </w:rPr>
        <w:t>示范园</w:t>
      </w:r>
      <w:r>
        <w:rPr>
          <w:rFonts w:cs="Times New Roman"/>
          <w:color w:val="000000"/>
          <w:sz w:val="32"/>
          <w:szCs w:val="32"/>
          <w:lang w:bidi="ar"/>
        </w:rPr>
        <w:t>创建省级农高区</w:t>
      </w:r>
      <w:r>
        <w:rPr>
          <w:rFonts w:hint="eastAsia" w:cs="Times New Roman"/>
          <w:color w:val="000000"/>
          <w:sz w:val="32"/>
          <w:szCs w:val="32"/>
          <w:lang w:bidi="ar"/>
        </w:rPr>
        <w:t>，完成</w:t>
      </w:r>
      <w:r>
        <w:rPr>
          <w:rFonts w:cs="Times New Roman"/>
          <w:color w:val="000000"/>
          <w:sz w:val="32"/>
          <w:szCs w:val="32"/>
          <w:lang w:bidi="ar"/>
        </w:rPr>
        <w:t>兰炭</w:t>
      </w:r>
      <w:r>
        <w:rPr>
          <w:rFonts w:hint="eastAsia" w:cs="Times New Roman"/>
          <w:color w:val="000000"/>
          <w:sz w:val="32"/>
          <w:szCs w:val="32"/>
          <w:lang w:bidi="ar"/>
        </w:rPr>
        <w:t>特色</w:t>
      </w:r>
      <w:r>
        <w:rPr>
          <w:rFonts w:cs="Times New Roman"/>
          <w:color w:val="000000"/>
          <w:sz w:val="32"/>
          <w:szCs w:val="32"/>
          <w:lang w:bidi="ar"/>
        </w:rPr>
        <w:t>产业园区</w:t>
      </w:r>
      <w:r>
        <w:rPr>
          <w:rFonts w:hint="eastAsia" w:cs="Times New Roman"/>
          <w:color w:val="000000"/>
          <w:sz w:val="32"/>
          <w:szCs w:val="32"/>
          <w:lang w:bidi="ar"/>
        </w:rPr>
        <w:t>扩园和</w:t>
      </w:r>
      <w:r>
        <w:rPr>
          <w:rFonts w:cs="Times New Roman"/>
          <w:color w:val="000000"/>
          <w:sz w:val="32"/>
          <w:szCs w:val="32"/>
          <w:lang w:bidi="ar"/>
        </w:rPr>
        <w:t>大</w:t>
      </w:r>
      <w:r>
        <w:rPr>
          <w:rFonts w:hint="eastAsia" w:cs="Times New Roman"/>
          <w:color w:val="000000"/>
          <w:sz w:val="32"/>
          <w:szCs w:val="32"/>
          <w:lang w:bidi="ar"/>
        </w:rPr>
        <w:t>乌</w:t>
      </w:r>
      <w:r>
        <w:rPr>
          <w:rFonts w:cs="Times New Roman"/>
          <w:color w:val="000000"/>
          <w:sz w:val="32"/>
          <w:szCs w:val="32"/>
          <w:lang w:bidi="ar"/>
        </w:rPr>
        <w:t>蒙陕合作示范</w:t>
      </w:r>
      <w:r>
        <w:rPr>
          <w:rFonts w:hint="eastAsia" w:cs="Times New Roman"/>
          <w:color w:val="000000"/>
          <w:sz w:val="32"/>
          <w:szCs w:val="32"/>
          <w:lang w:bidi="ar"/>
        </w:rPr>
        <w:t>区设立。深化行政审批制度改革，全面实现</w:t>
      </w:r>
      <w:r>
        <w:rPr>
          <w:rFonts w:cs="Times New Roman"/>
          <w:color w:val="000000"/>
          <w:sz w:val="32"/>
          <w:szCs w:val="32"/>
          <w:lang w:bidi="ar"/>
        </w:rPr>
        <w:t>“应放尽放、办事不出园”</w:t>
      </w:r>
      <w:r>
        <w:rPr>
          <w:rFonts w:hint="eastAsia" w:cs="Times New Roman"/>
          <w:color w:val="000000"/>
          <w:sz w:val="32"/>
          <w:szCs w:val="32"/>
          <w:lang w:bidi="ar"/>
        </w:rPr>
        <w:t>。</w:t>
      </w:r>
      <w:r>
        <w:rPr>
          <w:rFonts w:cs="Times New Roman"/>
          <w:color w:val="000000"/>
          <w:sz w:val="32"/>
          <w:szCs w:val="32"/>
          <w:lang w:bidi="ar"/>
        </w:rPr>
        <w:t>下放</w:t>
      </w:r>
      <w:r>
        <w:rPr>
          <w:rFonts w:hint="eastAsia" w:cs="Times New Roman"/>
          <w:color w:val="000000"/>
          <w:sz w:val="32"/>
          <w:szCs w:val="32"/>
          <w:lang w:bidi="ar"/>
        </w:rPr>
        <w:t>园区</w:t>
      </w:r>
      <w:r>
        <w:rPr>
          <w:rFonts w:cs="Times New Roman"/>
          <w:color w:val="000000"/>
          <w:sz w:val="32"/>
          <w:szCs w:val="32"/>
          <w:lang w:bidi="ar"/>
        </w:rPr>
        <w:t>经济管理权限，</w:t>
      </w:r>
      <w:r>
        <w:rPr>
          <w:rFonts w:hint="eastAsia" w:cs="Times New Roman"/>
          <w:color w:val="000000"/>
          <w:sz w:val="32"/>
          <w:szCs w:val="32"/>
          <w:lang w:val="en-US" w:eastAsia="zh-CN" w:bidi="ar"/>
        </w:rPr>
        <w:t>强化</w:t>
      </w:r>
      <w:r>
        <w:rPr>
          <w:rFonts w:cs="Times New Roman"/>
          <w:color w:val="000000"/>
          <w:sz w:val="32"/>
          <w:szCs w:val="32"/>
          <w:lang w:bidi="ar"/>
        </w:rPr>
        <w:t>人事薪酬</w:t>
      </w:r>
      <w:r>
        <w:rPr>
          <w:rFonts w:hint="eastAsia" w:cs="Times New Roman"/>
          <w:color w:val="000000"/>
          <w:sz w:val="32"/>
          <w:szCs w:val="32"/>
          <w:lang w:bidi="ar"/>
        </w:rPr>
        <w:t>绩效考核</w:t>
      </w:r>
      <w:r>
        <w:rPr>
          <w:rFonts w:cs="Times New Roman"/>
          <w:color w:val="000000"/>
          <w:sz w:val="32"/>
          <w:szCs w:val="32"/>
          <w:lang w:bidi="ar"/>
        </w:rPr>
        <w:t>，激发园区干部职工干事创业积极性。</w:t>
      </w:r>
      <w:r>
        <w:rPr>
          <w:rFonts w:cs="Times New Roman"/>
          <w:sz w:val="32"/>
          <w:szCs w:val="32"/>
        </w:rPr>
        <w:t>落实企业投资项目告知承诺、</w:t>
      </w:r>
      <w:r>
        <w:rPr>
          <w:rFonts w:hint="eastAsia" w:cs="Times New Roman"/>
          <w:sz w:val="32"/>
          <w:szCs w:val="32"/>
        </w:rPr>
        <w:t>见章跟章、</w:t>
      </w:r>
      <w:r>
        <w:rPr>
          <w:rFonts w:cs="Times New Roman"/>
          <w:sz w:val="32"/>
          <w:szCs w:val="32"/>
        </w:rPr>
        <w:t>全程代办改革，加快实施“多评合一、多图联审”模式，提升投资项目审批效率。</w:t>
      </w:r>
      <w:r>
        <w:rPr>
          <w:rFonts w:cs="Times New Roman"/>
          <w:color w:val="000000"/>
          <w:sz w:val="32"/>
          <w:szCs w:val="32"/>
          <w:lang w:bidi="ar"/>
        </w:rPr>
        <w:t>创新园区开发运营模式，对园区开发建设主体或管委会进行资产重组，引入</w:t>
      </w:r>
      <w:r>
        <w:rPr>
          <w:rFonts w:hint="eastAsia" w:cs="Times New Roman"/>
          <w:color w:val="000000"/>
          <w:sz w:val="32"/>
          <w:szCs w:val="32"/>
          <w:lang w:bidi="ar"/>
        </w:rPr>
        <w:t>外部</w:t>
      </w:r>
      <w:r>
        <w:rPr>
          <w:rFonts w:cs="Times New Roman"/>
          <w:color w:val="000000"/>
          <w:sz w:val="32"/>
          <w:szCs w:val="32"/>
          <w:lang w:bidi="ar"/>
        </w:rPr>
        <w:t>资本，投资建设、运营或托管园区。</w:t>
      </w:r>
      <w:r>
        <w:rPr>
          <w:rFonts w:cs="Times New Roman"/>
          <w:sz w:val="32"/>
          <w:szCs w:val="32"/>
        </w:rPr>
        <w:t>发挥园区公司化平台作用，探索园区招商、管理和服务的市场化模式。</w:t>
      </w:r>
      <w:r>
        <w:rPr>
          <w:rFonts w:hint="eastAsia" w:cs="Times New Roman"/>
          <w:sz w:val="32"/>
          <w:szCs w:val="32"/>
          <w:lang w:eastAsia="zh-CN"/>
        </w:rPr>
        <w:t>推进园区“亩产效益”评价，盘活闲置低效土地等要素资源。</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41" w:name="_Toc1688"/>
      <w:bookmarkStart w:id="42" w:name="_Toc1741"/>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五</w:t>
      </w:r>
      <w:r>
        <w:rPr>
          <w:rFonts w:hint="eastAsia" w:ascii="楷体_GB2312" w:hAnsi="楷体_GB2312" w:eastAsia="楷体_GB2312" w:cs="楷体_GB2312"/>
          <w:bCs/>
          <w:sz w:val="32"/>
          <w:szCs w:val="32"/>
        </w:rPr>
        <w:t>节 加快推动财税金融体制改革</w:t>
      </w:r>
      <w:bookmarkEnd w:id="41"/>
      <w:bookmarkEnd w:id="42"/>
    </w:p>
    <w:p>
      <w:pPr>
        <w:adjustRightInd/>
        <w:snapToGrid/>
        <w:spacing w:line="576" w:lineRule="exact"/>
        <w:ind w:firstLine="640"/>
        <w:rPr>
          <w:rFonts w:cs="Times New Roman"/>
          <w:b/>
          <w:bCs/>
          <w:sz w:val="32"/>
          <w:szCs w:val="32"/>
        </w:rPr>
      </w:pPr>
      <w:r>
        <w:rPr>
          <w:rFonts w:cs="Times New Roman"/>
          <w:b/>
          <w:bCs/>
          <w:sz w:val="32"/>
          <w:szCs w:val="32"/>
        </w:rPr>
        <w:t>深化财</w:t>
      </w:r>
      <w:r>
        <w:rPr>
          <w:rFonts w:hint="eastAsia" w:cs="Times New Roman"/>
          <w:b/>
          <w:bCs/>
          <w:sz w:val="32"/>
          <w:szCs w:val="32"/>
        </w:rPr>
        <w:t>政</w:t>
      </w:r>
      <w:r>
        <w:rPr>
          <w:rFonts w:cs="Times New Roman"/>
          <w:b/>
          <w:bCs/>
          <w:sz w:val="32"/>
          <w:szCs w:val="32"/>
        </w:rPr>
        <w:t>体制改革。</w:t>
      </w:r>
      <w:r>
        <w:rPr>
          <w:rFonts w:hint="eastAsia" w:cs="Times New Roman"/>
          <w:color w:val="000000"/>
          <w:sz w:val="32"/>
          <w:szCs w:val="32"/>
          <w:lang w:bidi="ar"/>
        </w:rPr>
        <w:t>完善</w:t>
      </w:r>
      <w:r>
        <w:rPr>
          <w:rFonts w:cs="Times New Roman"/>
          <w:color w:val="000000"/>
          <w:sz w:val="32"/>
          <w:szCs w:val="32"/>
          <w:lang w:bidi="ar"/>
        </w:rPr>
        <w:t>财政体制，明确政府事权和支出责任，增强公共服务保障能力。实施预算绩效管理，建立健全普遍适用的共性绩效指标框架，构建分行业、分领域、分层次的核心绩效指标和标准体系。加强基层财政管理，创新镇街财政体制改革。</w:t>
      </w:r>
      <w:r>
        <w:rPr>
          <w:rFonts w:hint="eastAsia" w:cs="Times New Roman"/>
          <w:color w:val="000000"/>
          <w:sz w:val="32"/>
          <w:szCs w:val="32"/>
          <w:lang w:bidi="ar"/>
        </w:rPr>
        <w:t>落实</w:t>
      </w:r>
      <w:r>
        <w:rPr>
          <w:rFonts w:hint="eastAsia" w:cs="Times New Roman"/>
          <w:color w:val="000000"/>
          <w:sz w:val="32"/>
          <w:szCs w:val="32"/>
          <w:lang w:val="en-US" w:eastAsia="zh-CN" w:bidi="ar"/>
        </w:rPr>
        <w:t>税制</w:t>
      </w:r>
      <w:r>
        <w:rPr>
          <w:rFonts w:hint="eastAsia" w:cs="Times New Roman"/>
          <w:color w:val="000000"/>
          <w:sz w:val="32"/>
          <w:szCs w:val="32"/>
          <w:lang w:bidi="ar"/>
        </w:rPr>
        <w:t>改革</w:t>
      </w:r>
      <w:r>
        <w:rPr>
          <w:rFonts w:hint="eastAsia" w:cs="Times New Roman"/>
          <w:color w:val="000000"/>
          <w:sz w:val="32"/>
          <w:szCs w:val="32"/>
          <w:lang w:val="en-US" w:eastAsia="zh-CN" w:bidi="ar"/>
        </w:rPr>
        <w:t>任务和</w:t>
      </w:r>
      <w:r>
        <w:rPr>
          <w:rFonts w:hint="eastAsia" w:cs="Times New Roman"/>
          <w:color w:val="000000"/>
          <w:sz w:val="32"/>
          <w:szCs w:val="32"/>
          <w:lang w:bidi="ar"/>
        </w:rPr>
        <w:t>相关政策</w:t>
      </w:r>
      <w:r>
        <w:rPr>
          <w:rFonts w:cs="Times New Roman"/>
          <w:color w:val="000000"/>
          <w:sz w:val="32"/>
          <w:szCs w:val="32"/>
          <w:lang w:bidi="ar"/>
        </w:rPr>
        <w:t>，</w:t>
      </w:r>
      <w:r>
        <w:rPr>
          <w:rFonts w:hint="eastAsia" w:cs="Times New Roman"/>
          <w:color w:val="000000"/>
          <w:sz w:val="32"/>
          <w:szCs w:val="32"/>
          <w:lang w:val="en-US" w:eastAsia="zh-CN" w:bidi="ar"/>
        </w:rPr>
        <w:t>优化和发展税收职能作用</w:t>
      </w:r>
      <w:r>
        <w:rPr>
          <w:rFonts w:cs="Times New Roman"/>
          <w:color w:val="000000"/>
          <w:sz w:val="32"/>
          <w:szCs w:val="32"/>
          <w:lang w:bidi="ar"/>
        </w:rPr>
        <w:t>，</w:t>
      </w:r>
      <w:r>
        <w:rPr>
          <w:rFonts w:hint="eastAsia" w:cs="Times New Roman"/>
          <w:color w:val="000000"/>
          <w:sz w:val="32"/>
          <w:szCs w:val="32"/>
          <w:lang w:eastAsia="zh-CN" w:bidi="ar"/>
        </w:rPr>
        <w:t>调节促进市场、组织财政收入增长，</w:t>
      </w:r>
      <w:r>
        <w:rPr>
          <w:rFonts w:cs="Times New Roman"/>
          <w:color w:val="000000"/>
          <w:sz w:val="32"/>
          <w:szCs w:val="32"/>
          <w:lang w:bidi="ar"/>
        </w:rPr>
        <w:t>以税制改革拓展供给侧结构性改革空间。</w:t>
      </w:r>
    </w:p>
    <w:p>
      <w:pPr>
        <w:pStyle w:val="2"/>
        <w:spacing w:line="576" w:lineRule="exact"/>
        <w:ind w:firstLine="640"/>
        <w:jc w:val="both"/>
        <w:rPr>
          <w:rFonts w:ascii="Times New Roman" w:hAnsi="Times New Roman" w:cs="Times New Roman"/>
          <w:b/>
          <w:bCs/>
          <w:color w:val="000000"/>
          <w:kern w:val="2"/>
          <w:sz w:val="32"/>
          <w:szCs w:val="32"/>
        </w:rPr>
      </w:pPr>
      <w:r>
        <w:rPr>
          <w:rFonts w:hint="eastAsia" w:ascii="Times New Roman" w:hAnsi="Times New Roman" w:cs="Times New Roman"/>
          <w:b/>
          <w:bCs/>
          <w:color w:val="000000"/>
          <w:kern w:val="2"/>
          <w:sz w:val="32"/>
          <w:szCs w:val="32"/>
        </w:rPr>
        <w:t>加大</w:t>
      </w:r>
      <w:r>
        <w:rPr>
          <w:rFonts w:ascii="Times New Roman" w:hAnsi="Times New Roman" w:cs="Times New Roman"/>
          <w:b/>
          <w:bCs/>
          <w:color w:val="000000"/>
          <w:kern w:val="2"/>
          <w:sz w:val="32"/>
          <w:szCs w:val="32"/>
        </w:rPr>
        <w:t>金融支持实体经济</w:t>
      </w:r>
      <w:r>
        <w:rPr>
          <w:rFonts w:hint="eastAsia" w:ascii="Times New Roman" w:hAnsi="Times New Roman" w:cs="Times New Roman"/>
          <w:b/>
          <w:bCs/>
          <w:color w:val="000000"/>
          <w:kern w:val="2"/>
          <w:sz w:val="32"/>
          <w:szCs w:val="32"/>
        </w:rPr>
        <w:t>力度</w:t>
      </w:r>
      <w:r>
        <w:rPr>
          <w:rFonts w:ascii="Times New Roman" w:hAnsi="Times New Roman" w:cs="Times New Roman"/>
          <w:b/>
          <w:bCs/>
          <w:color w:val="000000"/>
          <w:kern w:val="2"/>
          <w:sz w:val="32"/>
          <w:szCs w:val="32"/>
        </w:rPr>
        <w:t>。</w:t>
      </w:r>
      <w:r>
        <w:rPr>
          <w:rFonts w:hint="eastAsia" w:ascii="Times New Roman" w:hAnsi="Times New Roman" w:eastAsia="仿宋_GB2312" w:cs="Times New Roman"/>
          <w:color w:val="000000"/>
          <w:sz w:val="32"/>
          <w:szCs w:val="32"/>
          <w:lang w:val="en-US" w:eastAsia="zh-CN" w:bidi="ar"/>
        </w:rPr>
        <w:t>统筹规划国有金融资本战略布局，采取投资入股、增持股权、收购股权、股权置换等方式，合理调整国有金融资本结构。</w:t>
      </w:r>
      <w:r>
        <w:rPr>
          <w:rFonts w:ascii="Times New Roman" w:hAnsi="Times New Roman" w:cs="Times New Roman"/>
          <w:color w:val="000000"/>
          <w:sz w:val="32"/>
          <w:szCs w:val="32"/>
          <w:lang w:bidi="ar"/>
        </w:rPr>
        <w:t>建立风险补偿制度，加大担保机构财政资金投入，推进中小微企业融资性担保体系建设。发挥金融街载体作用，集聚</w:t>
      </w:r>
      <w:r>
        <w:rPr>
          <w:rFonts w:ascii="Times New Roman" w:hAnsi="Times New Roman" w:cs="Times New Roman"/>
          <w:color w:val="000000"/>
          <w:kern w:val="2"/>
          <w:sz w:val="32"/>
          <w:szCs w:val="32"/>
        </w:rPr>
        <w:t>引导优质金融机构入驻，丰富金融产品供给</w:t>
      </w:r>
      <w:r>
        <w:rPr>
          <w:rFonts w:hint="eastAsia" w:ascii="Times New Roman" w:hAnsi="Times New Roman" w:cs="Times New Roman"/>
          <w:color w:val="000000"/>
          <w:kern w:val="2"/>
          <w:sz w:val="32"/>
          <w:szCs w:val="32"/>
        </w:rPr>
        <w:t>，</w:t>
      </w:r>
      <w:r>
        <w:rPr>
          <w:rFonts w:ascii="Times New Roman" w:hAnsi="Times New Roman" w:cs="Times New Roman"/>
          <w:color w:val="000000"/>
          <w:kern w:val="2"/>
          <w:sz w:val="32"/>
          <w:szCs w:val="32"/>
        </w:rPr>
        <w:t>满足市场主体多样化融资需求。大力发展普惠金融业务，解决中小企业和个体工商户融资难、融资贵问题。拓宽企业直接融资渠道，建立上市企业培育库，推动优质企业在境内外资本市场上市。</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43" w:name="_Toc29536"/>
      <w:bookmarkStart w:id="44" w:name="_Toc29187"/>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六</w:t>
      </w:r>
      <w:r>
        <w:rPr>
          <w:rFonts w:hint="eastAsia" w:ascii="楷体_GB2312" w:hAnsi="楷体_GB2312" w:eastAsia="楷体_GB2312" w:cs="楷体_GB2312"/>
          <w:bCs/>
          <w:sz w:val="32"/>
          <w:szCs w:val="32"/>
        </w:rPr>
        <w:t>节 推动非公经济高质量发展</w:t>
      </w:r>
      <w:bookmarkEnd w:id="43"/>
      <w:bookmarkEnd w:id="44"/>
    </w:p>
    <w:p>
      <w:pPr>
        <w:pStyle w:val="2"/>
        <w:spacing w:line="576" w:lineRule="exact"/>
        <w:ind w:firstLine="640"/>
        <w:jc w:val="both"/>
        <w:rPr>
          <w:rFonts w:ascii="Times New Roman" w:hAnsi="Times New Roman" w:cs="Times New Roman"/>
          <w:color w:val="000000"/>
          <w:sz w:val="32"/>
          <w:szCs w:val="32"/>
          <w:lang w:bidi="ar"/>
        </w:rPr>
      </w:pPr>
      <w:r>
        <w:rPr>
          <w:rFonts w:hint="eastAsia" w:ascii="Times New Roman" w:hAnsi="Times New Roman" w:cs="Times New Roman"/>
          <w:b/>
          <w:bCs/>
          <w:color w:val="000000"/>
          <w:sz w:val="32"/>
          <w:szCs w:val="32"/>
          <w:lang w:val="en-US" w:eastAsia="zh-CN"/>
        </w:rPr>
        <w:t>优化非公有制经济发展环境。</w:t>
      </w:r>
      <w:r>
        <w:rPr>
          <w:rFonts w:hint="eastAsia" w:ascii="Times New Roman" w:hAnsi="Times New Roman" w:cs="Times New Roman"/>
          <w:color w:val="000000"/>
          <w:sz w:val="32"/>
          <w:szCs w:val="32"/>
          <w:lang w:eastAsia="zh-CN"/>
        </w:rPr>
        <w:t>搭建政商交往、政企沟通的制度化平台，放手放胆支持民营企业，加快构建亲清新型政商关系。</w:t>
      </w:r>
      <w:r>
        <w:rPr>
          <w:rFonts w:ascii="Times New Roman" w:hAnsi="Times New Roman" w:cs="Times New Roman"/>
          <w:color w:val="000000"/>
          <w:sz w:val="32"/>
          <w:szCs w:val="32"/>
          <w:lang w:bidi="ar"/>
        </w:rPr>
        <w:t>全面落实支持非公经济高质量发展政策措施，加大融资、创新支持力度，破除市场准入、审批许可、要素使用等隐性壁垒，降低税费和经营成本</w:t>
      </w:r>
      <w:r>
        <w:rPr>
          <w:rFonts w:hint="eastAsia" w:ascii="Times New Roman" w:hAnsi="Times New Roman" w:cs="Times New Roman"/>
          <w:color w:val="000000"/>
          <w:sz w:val="32"/>
          <w:szCs w:val="32"/>
          <w:lang w:eastAsia="zh-CN" w:bidi="ar"/>
        </w:rPr>
        <w:t>。</w:t>
      </w:r>
      <w:r>
        <w:rPr>
          <w:rFonts w:hint="eastAsia" w:ascii="Times New Roman" w:hAnsi="Times New Roman" w:cs="Times New Roman"/>
          <w:color w:val="000000"/>
          <w:sz w:val="32"/>
          <w:szCs w:val="32"/>
          <w:lang w:bidi="ar"/>
        </w:rPr>
        <w:t>加大</w:t>
      </w:r>
      <w:r>
        <w:rPr>
          <w:rFonts w:ascii="Times New Roman" w:hAnsi="Times New Roman" w:cs="Times New Roman"/>
          <w:color w:val="000000"/>
          <w:sz w:val="32"/>
          <w:szCs w:val="32"/>
          <w:lang w:bidi="ar"/>
        </w:rPr>
        <w:t>土地、劳动力、资本、技术等要素向民营企业倾斜。实施民营企业倍增计划，加大</w:t>
      </w:r>
      <w:r>
        <w:rPr>
          <w:rFonts w:ascii="Times New Roman" w:hAnsi="Times New Roman" w:cs="Times New Roman"/>
          <w:color w:val="000000"/>
          <w:sz w:val="32"/>
          <w:szCs w:val="32"/>
        </w:rPr>
        <w:t>“小升规”“五上”</w:t>
      </w:r>
      <w:r>
        <w:rPr>
          <w:rFonts w:hint="eastAsia" w:ascii="Times New Roman" w:hAnsi="Times New Roman" w:cs="Times New Roman"/>
          <w:color w:val="000000"/>
          <w:sz w:val="32"/>
          <w:szCs w:val="32"/>
        </w:rPr>
        <w:t>等</w:t>
      </w:r>
      <w:r>
        <w:rPr>
          <w:rFonts w:ascii="Times New Roman" w:hAnsi="Times New Roman" w:cs="Times New Roman"/>
          <w:color w:val="000000"/>
          <w:sz w:val="32"/>
          <w:szCs w:val="32"/>
        </w:rPr>
        <w:t>非公企业扶持力度</w:t>
      </w:r>
      <w:r>
        <w:rPr>
          <w:rFonts w:hint="eastAsia" w:ascii="Times New Roman" w:hAnsi="Times New Roman" w:cs="Times New Roman"/>
          <w:color w:val="000000"/>
          <w:sz w:val="32"/>
          <w:szCs w:val="32"/>
        </w:rPr>
        <w:t>。</w:t>
      </w:r>
      <w:r>
        <w:rPr>
          <w:rFonts w:hint="eastAsia" w:ascii="Times New Roman" w:hAnsi="Times New Roman" w:cs="Times New Roman"/>
          <w:color w:val="000000"/>
          <w:sz w:val="32"/>
          <w:szCs w:val="32"/>
          <w:lang w:eastAsia="zh-CN"/>
        </w:rPr>
        <w:t>依法平等保护非公企业产权和自主经营权，严肃查处侵害非公企业合法权益行为。</w:t>
      </w:r>
      <w:r>
        <w:rPr>
          <w:rFonts w:ascii="Times New Roman" w:hAnsi="Times New Roman" w:cs="Times New Roman"/>
          <w:color w:val="000000"/>
          <w:sz w:val="32"/>
          <w:szCs w:val="32"/>
        </w:rPr>
        <w:t>弘扬新时代企业家精神，依法保护民营企业合法权益，扶持壮大神木青年民营企业队伍，打造“麟商”品牌，营造支持民营企业、尊重民营企业家的良好社会环境。</w:t>
      </w:r>
      <w:r>
        <w:rPr>
          <w:rFonts w:hint="eastAsia" w:ascii="Times New Roman" w:hAnsi="Times New Roman" w:cs="Times New Roman"/>
          <w:color w:val="000000"/>
          <w:sz w:val="32"/>
          <w:szCs w:val="32"/>
          <w:lang w:bidi="ar"/>
        </w:rPr>
        <w:t>到2025年，</w:t>
      </w:r>
      <w:r>
        <w:rPr>
          <w:rFonts w:ascii="Times New Roman" w:hAnsi="Times New Roman" w:cs="Times New Roman"/>
          <w:color w:val="000000"/>
          <w:sz w:val="32"/>
          <w:szCs w:val="32"/>
          <w:lang w:bidi="ar"/>
        </w:rPr>
        <w:t>非公经济占地区生产总值比重达</w:t>
      </w:r>
      <w:r>
        <w:rPr>
          <w:rFonts w:hint="eastAsia" w:ascii="Times New Roman" w:hAnsi="Times New Roman" w:cs="Times New Roman"/>
          <w:color w:val="000000"/>
          <w:sz w:val="32"/>
          <w:szCs w:val="32"/>
          <w:lang w:val="en-US" w:eastAsia="zh-CN" w:bidi="ar"/>
        </w:rPr>
        <w:t>35</w:t>
      </w:r>
      <w:r>
        <w:rPr>
          <w:rFonts w:ascii="Times New Roman" w:hAnsi="Times New Roman" w:cs="Times New Roman"/>
          <w:color w:val="000000"/>
          <w:sz w:val="32"/>
          <w:szCs w:val="32"/>
          <w:lang w:bidi="ar"/>
        </w:rPr>
        <w:t>%。</w:t>
      </w:r>
    </w:p>
    <w:p>
      <w:pPr>
        <w:pStyle w:val="10"/>
        <w:jc w:val="both"/>
        <w:rPr>
          <w:rFonts w:hint="default" w:eastAsia="仿宋_GB2312"/>
          <w:b/>
          <w:bCs/>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hint="eastAsia" w:ascii="Times New Roman" w:hAnsi="Times New Roman" w:eastAsia="仿宋_GB2312" w:cs="Times New Roman"/>
          <w:b/>
          <w:bCs/>
          <w:color w:val="000000"/>
          <w:sz w:val="32"/>
          <w:szCs w:val="32"/>
          <w:lang w:val="en-US" w:eastAsia="zh-CN" w:bidi="ar-SA"/>
        </w:rPr>
        <w:t>激活民间资本。</w:t>
      </w:r>
      <w:r>
        <w:rPr>
          <w:rFonts w:hint="eastAsia" w:ascii="Times New Roman" w:hAnsi="Times New Roman" w:eastAsia="仿宋_GB2312" w:cs="Times New Roman"/>
          <w:color w:val="000000"/>
          <w:sz w:val="32"/>
          <w:szCs w:val="32"/>
          <w:lang w:val="en-US" w:eastAsia="zh-CN" w:bidi="ar-SA"/>
        </w:rPr>
        <w:t>发挥政府引导基金作用，吸收和整合神木庞大的存量民间资本，组建神木民间资本投资集团，形成具备资金融通、城市建设和产业投资功能于一体并能实现自我循环发展的市级民间资本产业投融资平台。鼓励引入专业投资管理机构和专业投资团队，与政府引导基金共同发起成立各类子基金，对优质项目实施投融资评估和投后管理。引导神木民间资本与神木国有资本“同船出海”，通过并购和参股、控股等形式，参与市内外国有企业的改制重组和开展跨地区、跨行业兼并重组，促进产权合理流动。开展与先进技术研发平台等交流合作，围绕技术产业化方向，引导民间资本向科技资本转化</w:t>
      </w:r>
      <w:r>
        <w:rPr>
          <w:rFonts w:hint="eastAsia" w:cs="Times New Roman"/>
          <w:color w:val="000000"/>
          <w:sz w:val="32"/>
          <w:szCs w:val="32"/>
          <w:lang w:val="en-US" w:eastAsia="zh-CN" w:bidi="ar-SA"/>
        </w:rPr>
        <w:t>。</w:t>
      </w:r>
      <w:r>
        <w:rPr>
          <w:rFonts w:hint="eastAsia" w:ascii="Times New Roman" w:hAnsi="Times New Roman" w:eastAsia="仿宋_GB2312" w:cs="Times New Roman"/>
          <w:color w:val="000000"/>
          <w:sz w:val="32"/>
          <w:szCs w:val="32"/>
          <w:lang w:val="en-US" w:eastAsia="zh-CN" w:bidi="ar-SA"/>
        </w:rPr>
        <w:t>面向知识产权和专利，开展股权投资合作，调动和利用雄厚的民间资本投向科技含量高、技术先进、市场有潜力的科创项目。创新招商方式，探索配资招商新模式，鼓励我市民营资本配资我市前景好的招商项目。放开市场准入，鼓励民间资本参与我市交通运输、水利工程、生态修复、电力设施、油气开发</w:t>
      </w:r>
      <w:r>
        <w:rPr>
          <w:rFonts w:hint="eastAsia" w:cs="Times New Roman"/>
          <w:color w:val="000000"/>
          <w:sz w:val="32"/>
          <w:szCs w:val="32"/>
          <w:lang w:val="en-US" w:eastAsia="zh-CN" w:bidi="ar-SA"/>
        </w:rPr>
        <w:t>和</w:t>
      </w:r>
      <w:r>
        <w:rPr>
          <w:rFonts w:hint="eastAsia" w:ascii="Times New Roman" w:hAnsi="Times New Roman" w:eastAsia="仿宋_GB2312" w:cs="Times New Roman"/>
          <w:color w:val="000000"/>
          <w:sz w:val="32"/>
          <w:szCs w:val="32"/>
          <w:lang w:val="en-US" w:eastAsia="zh-CN" w:bidi="ar-SA"/>
        </w:rPr>
        <w:t>基础设施建设，培育形成政府投入为主、民间投资为辅的公共配套服务体系，不断壮大我市民间资本实力。</w:t>
      </w:r>
      <w:r>
        <w:rPr>
          <w:rFonts w:hint="eastAsia"/>
          <w:b/>
          <w:bCs/>
          <w:lang w:val="en-US" w:eastAsia="zh-CN"/>
        </w:rPr>
        <w:t xml:space="preserve"> </w:t>
      </w:r>
    </w:p>
    <w:p>
      <w:pPr>
        <w:pStyle w:val="3"/>
        <w:ind w:left="0" w:firstLine="0" w:firstLineChars="0"/>
        <w:jc w:val="center"/>
        <w:rPr>
          <w:rFonts w:hint="default" w:ascii="Times New Roman" w:hAnsi="Times New Roman" w:eastAsia="方正小标宋简体" w:cs="Times New Roman"/>
          <w:w w:val="85"/>
          <w:sz w:val="44"/>
          <w:szCs w:val="44"/>
          <w:lang w:val="en-US" w:eastAsia="zh-CN"/>
        </w:rPr>
      </w:pPr>
      <w:bookmarkStart w:id="45" w:name="_Toc7245"/>
      <w:bookmarkStart w:id="46" w:name="_Toc15901"/>
      <w:r>
        <w:rPr>
          <w:rFonts w:ascii="Times New Roman" w:hAnsi="Times New Roman" w:eastAsia="方正小标宋简体" w:cs="Times New Roman"/>
          <w:w w:val="85"/>
          <w:sz w:val="44"/>
          <w:szCs w:val="44"/>
        </w:rPr>
        <w:t>第八章 实施乡村</w:t>
      </w:r>
      <w:r>
        <w:rPr>
          <w:rFonts w:hint="eastAsia" w:ascii="Times New Roman" w:hAnsi="Times New Roman" w:eastAsia="方正小标宋简体" w:cs="Times New Roman"/>
          <w:w w:val="85"/>
          <w:sz w:val="44"/>
          <w:szCs w:val="44"/>
          <w:lang w:val="en-US" w:eastAsia="zh-CN"/>
        </w:rPr>
        <w:t>振兴</w:t>
      </w:r>
      <w:r>
        <w:rPr>
          <w:rFonts w:ascii="Times New Roman" w:hAnsi="Times New Roman" w:eastAsia="方正小标宋简体" w:cs="Times New Roman"/>
          <w:w w:val="85"/>
          <w:sz w:val="44"/>
          <w:szCs w:val="44"/>
        </w:rPr>
        <w:t>，</w:t>
      </w:r>
      <w:bookmarkEnd w:id="45"/>
      <w:r>
        <w:rPr>
          <w:rFonts w:hint="eastAsia" w:ascii="Times New Roman" w:hAnsi="Times New Roman" w:eastAsia="方正小标宋简体" w:cs="Times New Roman"/>
          <w:w w:val="85"/>
          <w:sz w:val="44"/>
          <w:szCs w:val="44"/>
          <w:lang w:eastAsia="zh-CN"/>
        </w:rPr>
        <w:t>塑造</w:t>
      </w:r>
      <w:r>
        <w:rPr>
          <w:rFonts w:hint="eastAsia" w:ascii="Times New Roman" w:hAnsi="Times New Roman" w:eastAsia="方正小标宋简体" w:cs="Times New Roman"/>
          <w:w w:val="85"/>
          <w:sz w:val="44"/>
          <w:szCs w:val="44"/>
        </w:rPr>
        <w:t>农业农村现代化</w:t>
      </w:r>
      <w:r>
        <w:rPr>
          <w:rFonts w:hint="eastAsia" w:ascii="Times New Roman" w:hAnsi="Times New Roman" w:eastAsia="方正小标宋简体" w:cs="Times New Roman"/>
          <w:w w:val="85"/>
          <w:sz w:val="44"/>
          <w:szCs w:val="44"/>
          <w:lang w:val="en-US" w:eastAsia="zh-CN"/>
        </w:rPr>
        <w:t>新面貌</w:t>
      </w:r>
      <w:bookmarkEnd w:id="46"/>
    </w:p>
    <w:p>
      <w:pPr>
        <w:ind w:firstLine="640"/>
        <w:rPr>
          <w:rFonts w:cs="Times New Roman"/>
          <w:sz w:val="32"/>
          <w:szCs w:val="32"/>
        </w:rPr>
      </w:pPr>
      <w:r>
        <w:rPr>
          <w:rFonts w:hint="eastAsia" w:cs="Times New Roman"/>
          <w:sz w:val="32"/>
          <w:szCs w:val="32"/>
        </w:rPr>
        <w:t>深入实施乡村振兴战略</w:t>
      </w:r>
      <w:r>
        <w:rPr>
          <w:rFonts w:cs="Times New Roman"/>
          <w:sz w:val="32"/>
          <w:szCs w:val="32"/>
        </w:rPr>
        <w:t>，</w:t>
      </w:r>
      <w:r>
        <w:rPr>
          <w:rFonts w:hint="eastAsia" w:cs="Times New Roman"/>
          <w:sz w:val="32"/>
          <w:szCs w:val="32"/>
          <w:lang w:eastAsia="zh-CN"/>
        </w:rPr>
        <w:t>强化以工补农、以城带乡，</w:t>
      </w:r>
      <w:r>
        <w:rPr>
          <w:rFonts w:cs="Times New Roman"/>
          <w:sz w:val="32"/>
          <w:szCs w:val="32"/>
        </w:rPr>
        <w:t>不断优化农业生产结构和区域布局，因地制宜培育壮大农业产业，推动一二三产业深度融合，加快农业农村现代化</w:t>
      </w:r>
      <w:r>
        <w:rPr>
          <w:rFonts w:hint="eastAsia" w:cs="Times New Roman"/>
          <w:sz w:val="32"/>
          <w:szCs w:val="32"/>
        </w:rPr>
        <w:t>进程</w:t>
      </w:r>
      <w:r>
        <w:rPr>
          <w:rFonts w:cs="Times New Roman"/>
          <w:sz w:val="32"/>
          <w:szCs w:val="32"/>
        </w:rPr>
        <w:t>。</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47" w:name="_Toc13829"/>
      <w:bookmarkStart w:id="48" w:name="_Toc31055"/>
      <w:r>
        <w:rPr>
          <w:rFonts w:hint="eastAsia" w:ascii="楷体_GB2312" w:hAnsi="楷体_GB2312" w:eastAsia="楷体_GB2312" w:cs="楷体_GB2312"/>
          <w:bCs/>
          <w:sz w:val="32"/>
          <w:szCs w:val="32"/>
        </w:rPr>
        <w:t xml:space="preserve">第一节 </w:t>
      </w:r>
      <w:bookmarkEnd w:id="47"/>
      <w:r>
        <w:rPr>
          <w:rFonts w:hint="eastAsia" w:ascii="楷体_GB2312" w:hAnsi="楷体_GB2312" w:eastAsia="楷体_GB2312" w:cs="楷体_GB2312"/>
          <w:bCs/>
          <w:sz w:val="32"/>
          <w:szCs w:val="32"/>
        </w:rPr>
        <w:t>实施乡村建设行动</w:t>
      </w:r>
      <w:bookmarkEnd w:id="48"/>
    </w:p>
    <w:p>
      <w:pPr>
        <w:keepNext w:val="0"/>
        <w:keepLines w:val="0"/>
        <w:pageBreakBefore w:val="0"/>
        <w:widowControl w:val="0"/>
        <w:kinsoku/>
        <w:wordWrap/>
        <w:overflowPunct/>
        <w:topLinePunct w:val="0"/>
        <w:autoSpaceDE/>
        <w:autoSpaceDN/>
        <w:bidi w:val="0"/>
        <w:adjustRightInd w:val="0"/>
        <w:snapToGrid w:val="0"/>
        <w:spacing w:line="576" w:lineRule="exact"/>
        <w:ind w:firstLine="640"/>
        <w:textAlignment w:val="auto"/>
        <w:rPr>
          <w:rFonts w:hint="eastAsia" w:cs="Times New Roman"/>
          <w:sz w:val="32"/>
          <w:szCs w:val="32"/>
        </w:rPr>
      </w:pPr>
      <w:r>
        <w:rPr>
          <w:rFonts w:hint="eastAsia" w:cs="Times New Roman"/>
          <w:sz w:val="32"/>
          <w:szCs w:val="32"/>
        </w:rPr>
        <w:t>立足市域村庄发展现状、区位条件、资源禀赋、群众意愿等现实条件，坚持融入城镇、社区集中、联动抱团、特色保护的发展思路，全域推进乡村建设行动，加快建设美丽宜居村庄。</w:t>
      </w:r>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b/>
          <w:bCs/>
          <w:sz w:val="32"/>
          <w:szCs w:val="32"/>
        </w:rPr>
        <w:t>加强基础设施建设。</w:t>
      </w:r>
      <w:r>
        <w:rPr>
          <w:rFonts w:cs="Times New Roman"/>
          <w:sz w:val="32"/>
          <w:szCs w:val="32"/>
        </w:rPr>
        <w:t>加大农村道路互联互通建设，新建</w:t>
      </w:r>
      <w:r>
        <w:rPr>
          <w:rFonts w:hint="eastAsia" w:cs="Times New Roman"/>
          <w:sz w:val="32"/>
          <w:szCs w:val="32"/>
        </w:rPr>
        <w:t>改建</w:t>
      </w:r>
      <w:r>
        <w:rPr>
          <w:rFonts w:cs="Times New Roman"/>
          <w:sz w:val="32"/>
          <w:szCs w:val="32"/>
        </w:rPr>
        <w:t>农村“四好农村路”1000公里。深入推进农村饮水安全工程建设，新建农村</w:t>
      </w:r>
      <w:r>
        <w:rPr>
          <w:rFonts w:hint="eastAsia" w:cs="Times New Roman"/>
          <w:sz w:val="32"/>
          <w:szCs w:val="32"/>
        </w:rPr>
        <w:t>安全</w:t>
      </w:r>
      <w:r>
        <w:rPr>
          <w:rFonts w:cs="Times New Roman"/>
          <w:sz w:val="32"/>
          <w:szCs w:val="32"/>
        </w:rPr>
        <w:t>饮水工程420处</w:t>
      </w:r>
      <w:r>
        <w:rPr>
          <w:rFonts w:hint="eastAsia" w:cs="Times New Roman"/>
          <w:sz w:val="32"/>
          <w:szCs w:val="32"/>
        </w:rPr>
        <w:t>。</w:t>
      </w:r>
      <w:r>
        <w:rPr>
          <w:rFonts w:cs="Times New Roman"/>
          <w:sz w:val="32"/>
          <w:szCs w:val="32"/>
        </w:rPr>
        <w:t>实施新一轮农村电网改造升级工程，实现</w:t>
      </w:r>
      <w:r>
        <w:rPr>
          <w:rFonts w:hint="eastAsia" w:cs="Times New Roman"/>
          <w:sz w:val="32"/>
          <w:szCs w:val="32"/>
          <w:lang w:val="en-US" w:eastAsia="zh-CN"/>
        </w:rPr>
        <w:t>行政</w:t>
      </w:r>
      <w:r>
        <w:rPr>
          <w:rFonts w:cs="Times New Roman"/>
          <w:sz w:val="32"/>
          <w:szCs w:val="32"/>
        </w:rPr>
        <w:t>村动力电全覆盖。积极推广沼气、秸秆气化等清洁能源</w:t>
      </w:r>
      <w:r>
        <w:rPr>
          <w:rFonts w:hint="eastAsia" w:cs="Times New Roman"/>
          <w:sz w:val="32"/>
          <w:szCs w:val="32"/>
        </w:rPr>
        <w:t>使用</w:t>
      </w:r>
      <w:r>
        <w:rPr>
          <w:rFonts w:cs="Times New Roman"/>
          <w:sz w:val="32"/>
          <w:szCs w:val="32"/>
        </w:rPr>
        <w:t>，加快普及户用沼气。加快建设数字乡村，确保行政村全部实现光纤到村，村民住户具备50M以上宽带接入条件</w:t>
      </w:r>
      <w:r>
        <w:rPr>
          <w:rFonts w:hint="eastAsia"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b/>
          <w:bCs/>
          <w:sz w:val="32"/>
          <w:szCs w:val="32"/>
        </w:rPr>
        <w:t>建设美丽宜居村庄。</w:t>
      </w:r>
      <w:r>
        <w:rPr>
          <w:rFonts w:cs="Times New Roman"/>
          <w:sz w:val="32"/>
          <w:szCs w:val="32"/>
        </w:rPr>
        <w:t>持续开展农村人居环境整治</w:t>
      </w:r>
      <w:r>
        <w:rPr>
          <w:rFonts w:hint="eastAsia" w:cs="Times New Roman"/>
          <w:sz w:val="32"/>
          <w:szCs w:val="32"/>
          <w:lang w:eastAsia="zh-CN"/>
        </w:rPr>
        <w:t>提升五年</w:t>
      </w:r>
      <w:r>
        <w:rPr>
          <w:rFonts w:cs="Times New Roman"/>
          <w:sz w:val="32"/>
          <w:szCs w:val="32"/>
        </w:rPr>
        <w:t>行动，推进农村生活垃圾、污水、畜禽粪污资源化利用，</w:t>
      </w:r>
      <w:r>
        <w:rPr>
          <w:rFonts w:hint="eastAsia" w:cs="Times New Roman"/>
          <w:sz w:val="32"/>
          <w:szCs w:val="32"/>
          <w:lang w:val="en-US" w:eastAsia="zh-CN"/>
        </w:rPr>
        <w:t>实现</w:t>
      </w:r>
      <w:r>
        <w:rPr>
          <w:rFonts w:cs="Times New Roman"/>
          <w:sz w:val="32"/>
          <w:szCs w:val="32"/>
        </w:rPr>
        <w:t>农村生活</w:t>
      </w:r>
      <w:r>
        <w:rPr>
          <w:rFonts w:hint="eastAsia" w:cs="Times New Roman"/>
          <w:sz w:val="32"/>
          <w:szCs w:val="32"/>
        </w:rPr>
        <w:t>垃圾、污水</w:t>
      </w:r>
      <w:r>
        <w:rPr>
          <w:rFonts w:cs="Times New Roman"/>
          <w:sz w:val="32"/>
          <w:szCs w:val="32"/>
        </w:rPr>
        <w:t>有效</w:t>
      </w:r>
      <w:r>
        <w:rPr>
          <w:rFonts w:hint="eastAsia" w:cs="Times New Roman"/>
          <w:sz w:val="32"/>
          <w:szCs w:val="32"/>
          <w:lang w:eastAsia="zh-CN"/>
        </w:rPr>
        <w:t>治理</w:t>
      </w:r>
      <w:r>
        <w:rPr>
          <w:rFonts w:cs="Times New Roman"/>
          <w:sz w:val="32"/>
          <w:szCs w:val="32"/>
        </w:rPr>
        <w:t>。因地制宜推进农村改厕，</w:t>
      </w:r>
      <w:r>
        <w:rPr>
          <w:rFonts w:cs="Times New Roman"/>
          <w:bCs/>
          <w:sz w:val="32"/>
          <w:szCs w:val="32"/>
        </w:rPr>
        <w:t>农村户用卫生厕所普及率</w:t>
      </w:r>
      <w:r>
        <w:rPr>
          <w:rFonts w:hint="eastAsia" w:cs="Times New Roman"/>
          <w:bCs/>
          <w:sz w:val="32"/>
          <w:szCs w:val="32"/>
        </w:rPr>
        <w:t>和</w:t>
      </w:r>
      <w:r>
        <w:rPr>
          <w:rFonts w:cs="Times New Roman"/>
          <w:bCs/>
          <w:sz w:val="32"/>
          <w:szCs w:val="32"/>
        </w:rPr>
        <w:t>粪污资源</w:t>
      </w:r>
      <w:r>
        <w:rPr>
          <w:rFonts w:hint="eastAsia" w:cs="Times New Roman"/>
          <w:bCs/>
          <w:sz w:val="32"/>
          <w:szCs w:val="32"/>
        </w:rPr>
        <w:t>利用率</w:t>
      </w:r>
      <w:r>
        <w:rPr>
          <w:rFonts w:cs="Times New Roman"/>
          <w:bCs/>
          <w:sz w:val="32"/>
          <w:szCs w:val="32"/>
        </w:rPr>
        <w:t>达到100％，行政村公共卫生厕所全覆盖。</w:t>
      </w:r>
      <w:r>
        <w:rPr>
          <w:rFonts w:cs="Times New Roman"/>
          <w:sz w:val="32"/>
          <w:szCs w:val="32"/>
        </w:rPr>
        <w:t>实施村容村貌提升工程，保护乡村风貌</w:t>
      </w:r>
      <w:r>
        <w:rPr>
          <w:rFonts w:hint="eastAsia" w:cs="Times New Roman"/>
          <w:sz w:val="32"/>
          <w:szCs w:val="32"/>
        </w:rPr>
        <w:t>，</w:t>
      </w:r>
      <w:r>
        <w:rPr>
          <w:rFonts w:cs="Times New Roman"/>
          <w:sz w:val="32"/>
          <w:szCs w:val="32"/>
        </w:rPr>
        <w:t>加大村庄绿化、美化和道路硬化力度，打造一批省内知名的美丽宜居乡村。到</w:t>
      </w:r>
      <w:r>
        <w:rPr>
          <w:rFonts w:hint="eastAsia" w:cs="Times New Roman"/>
          <w:sz w:val="32"/>
          <w:szCs w:val="32"/>
        </w:rPr>
        <w:t>2025年</w:t>
      </w:r>
      <w:r>
        <w:rPr>
          <w:rFonts w:cs="Times New Roman"/>
          <w:sz w:val="32"/>
          <w:szCs w:val="32"/>
        </w:rPr>
        <w:t>，培育省级美丽宜居示范村20个。</w:t>
      </w:r>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b/>
          <w:bCs/>
          <w:sz w:val="32"/>
          <w:szCs w:val="32"/>
        </w:rPr>
        <w:t>推动乡村全面振兴。</w:t>
      </w:r>
      <w:r>
        <w:rPr>
          <w:rFonts w:hint="eastAsia" w:ascii="Times New Roman" w:hAnsi="Times New Roman" w:cs="Times New Roman"/>
          <w:sz w:val="32"/>
          <w:szCs w:val="32"/>
          <w:lang w:val="en-US" w:eastAsia="zh-CN"/>
        </w:rPr>
        <w:t>坚持乡村发展与国土开发空间相适应，与新型城镇化进程相协调，优化乡村发展布局。</w:t>
      </w:r>
      <w:r>
        <w:rPr>
          <w:rFonts w:hint="eastAsia" w:cs="Times New Roman"/>
          <w:sz w:val="32"/>
          <w:szCs w:val="32"/>
        </w:rPr>
        <w:t>坚持以</w:t>
      </w:r>
      <w:r>
        <w:rPr>
          <w:rFonts w:cs="Times New Roman"/>
          <w:sz w:val="32"/>
          <w:szCs w:val="32"/>
        </w:rPr>
        <w:t>农民群众</w:t>
      </w:r>
      <w:r>
        <w:rPr>
          <w:rFonts w:hint="eastAsia" w:cs="Times New Roman"/>
          <w:sz w:val="32"/>
          <w:szCs w:val="32"/>
        </w:rPr>
        <w:t>的需求为导向</w:t>
      </w:r>
      <w:r>
        <w:rPr>
          <w:rFonts w:cs="Times New Roman"/>
          <w:sz w:val="32"/>
          <w:szCs w:val="32"/>
        </w:rPr>
        <w:t>，提升农村公共服务供给能力。</w:t>
      </w:r>
      <w:r>
        <w:rPr>
          <w:rFonts w:hint="eastAsia" w:cs="Times New Roman"/>
          <w:sz w:val="32"/>
          <w:szCs w:val="32"/>
        </w:rPr>
        <w:t>纵深</w:t>
      </w:r>
      <w:r>
        <w:rPr>
          <w:rFonts w:cs="Times New Roman"/>
          <w:sz w:val="32"/>
          <w:szCs w:val="32"/>
        </w:rPr>
        <w:t>推进农村“三变改革</w:t>
      </w:r>
      <w:r>
        <w:rPr>
          <w:rStyle w:val="37"/>
          <w:rFonts w:cs="Times New Roman"/>
          <w:sz w:val="32"/>
          <w:szCs w:val="32"/>
        </w:rPr>
        <w:footnoteReference w:id="14"/>
      </w:r>
      <w:r>
        <w:rPr>
          <w:rFonts w:cs="Times New Roman"/>
          <w:sz w:val="32"/>
          <w:szCs w:val="32"/>
        </w:rPr>
        <w:t>”，探索创新多种土地流转方式，鼓励村集体因地制宜发展农业生产性服务、农产品加工、乡村旅游等产业，提高村集体经济规模效益。加快培育新型职业农民和农村实用人才，全市新型职业农民总人数达到2500人。改善农村教育、</w:t>
      </w:r>
      <w:r>
        <w:rPr>
          <w:rFonts w:hint="eastAsia" w:cs="Times New Roman"/>
          <w:sz w:val="32"/>
          <w:szCs w:val="32"/>
        </w:rPr>
        <w:t>文化、</w:t>
      </w:r>
      <w:r>
        <w:rPr>
          <w:rFonts w:cs="Times New Roman"/>
          <w:sz w:val="32"/>
          <w:szCs w:val="32"/>
        </w:rPr>
        <w:t>医疗条件，</w:t>
      </w:r>
      <w:r>
        <w:rPr>
          <w:rFonts w:hint="eastAsia" w:cs="Times New Roman"/>
          <w:sz w:val="32"/>
          <w:szCs w:val="32"/>
        </w:rPr>
        <w:t>加强</w:t>
      </w:r>
      <w:r>
        <w:rPr>
          <w:rFonts w:cs="Times New Roman"/>
          <w:sz w:val="32"/>
          <w:szCs w:val="32"/>
        </w:rPr>
        <w:t>多层次农村养老保障体系</w:t>
      </w:r>
      <w:r>
        <w:rPr>
          <w:rFonts w:hint="eastAsia" w:cs="Times New Roman"/>
          <w:sz w:val="32"/>
          <w:szCs w:val="32"/>
        </w:rPr>
        <w:t>建设。</w:t>
      </w:r>
      <w:r>
        <w:rPr>
          <w:rFonts w:cs="Times New Roman"/>
          <w:sz w:val="32"/>
          <w:szCs w:val="32"/>
        </w:rPr>
        <w:t>到2025年，建成</w:t>
      </w:r>
      <w:r>
        <w:rPr>
          <w:rFonts w:hint="eastAsia" w:cs="Times New Roman"/>
          <w:sz w:val="32"/>
          <w:szCs w:val="32"/>
          <w:lang w:val="en-US" w:eastAsia="zh-CN"/>
        </w:rPr>
        <w:t>65</w:t>
      </w:r>
      <w:r>
        <w:rPr>
          <w:rFonts w:cs="Times New Roman"/>
          <w:sz w:val="32"/>
          <w:szCs w:val="32"/>
        </w:rPr>
        <w:t>个乡村振兴示范村。</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49" w:name="_Toc15747"/>
      <w:bookmarkStart w:id="50" w:name="_Toc20262"/>
      <w:r>
        <w:rPr>
          <w:rFonts w:hint="eastAsia" w:ascii="楷体_GB2312" w:hAnsi="楷体_GB2312" w:eastAsia="楷体_GB2312" w:cs="楷体_GB2312"/>
          <w:bCs/>
          <w:sz w:val="32"/>
          <w:szCs w:val="32"/>
        </w:rPr>
        <w:t xml:space="preserve">第二节 </w:t>
      </w:r>
      <w:bookmarkEnd w:id="49"/>
      <w:r>
        <w:rPr>
          <w:rFonts w:hint="eastAsia" w:ascii="楷体_GB2312" w:hAnsi="楷体_GB2312" w:eastAsia="楷体_GB2312" w:cs="楷体_GB2312"/>
          <w:bCs/>
          <w:sz w:val="32"/>
          <w:szCs w:val="32"/>
          <w:lang w:val="en-US" w:eastAsia="zh-CN"/>
        </w:rPr>
        <w:t>大力</w:t>
      </w:r>
      <w:r>
        <w:rPr>
          <w:rFonts w:hint="eastAsia" w:ascii="楷体_GB2312" w:hAnsi="楷体_GB2312" w:eastAsia="楷体_GB2312" w:cs="楷体_GB2312"/>
          <w:bCs/>
          <w:sz w:val="32"/>
          <w:szCs w:val="32"/>
        </w:rPr>
        <w:t>发展现代农业</w:t>
      </w:r>
      <w:bookmarkEnd w:id="50"/>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sz w:val="32"/>
          <w:szCs w:val="32"/>
        </w:rPr>
      </w:pPr>
      <w:r>
        <w:rPr>
          <w:rFonts w:cs="Times New Roman"/>
          <w:sz w:val="32"/>
          <w:szCs w:val="32"/>
        </w:rPr>
        <w:t>深化农业供给侧结构性改革，以绿色发展为导向，以融合发展为路径，</w:t>
      </w:r>
      <w:r>
        <w:rPr>
          <w:rFonts w:hint="eastAsia" w:cs="Times New Roman"/>
          <w:sz w:val="32"/>
          <w:szCs w:val="32"/>
          <w:lang w:val="en-US" w:eastAsia="zh-CN"/>
        </w:rPr>
        <w:t>推动农业种养殖模式、农产品经营理念、农业发展组织方式、农业社会化服务变革，</w:t>
      </w:r>
      <w:r>
        <w:rPr>
          <w:rFonts w:cs="Times New Roman"/>
          <w:sz w:val="32"/>
          <w:szCs w:val="32"/>
        </w:rPr>
        <w:t>加快构建现代农业</w:t>
      </w:r>
      <w:r>
        <w:rPr>
          <w:rFonts w:hint="eastAsia" w:cs="Times New Roman"/>
          <w:sz w:val="32"/>
          <w:szCs w:val="32"/>
        </w:rPr>
        <w:t>生产</w:t>
      </w:r>
      <w:r>
        <w:rPr>
          <w:rFonts w:hint="eastAsia" w:cs="Times New Roman"/>
          <w:sz w:val="32"/>
          <w:szCs w:val="32"/>
          <w:lang w:val="en-US" w:eastAsia="zh-CN"/>
        </w:rPr>
        <w:t>经营</w:t>
      </w:r>
      <w:r>
        <w:rPr>
          <w:rFonts w:cs="Times New Roman"/>
          <w:sz w:val="32"/>
          <w:szCs w:val="32"/>
        </w:rPr>
        <w:t>体系。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sz w:val="32"/>
          <w:szCs w:val="32"/>
        </w:rPr>
      </w:pPr>
      <w:r>
        <w:rPr>
          <w:rFonts w:cs="Times New Roman"/>
          <w:b/>
          <w:bCs/>
          <w:sz w:val="32"/>
          <w:szCs w:val="32"/>
        </w:rPr>
        <w:t>完善现代农业基础体系。</w:t>
      </w:r>
      <w:r>
        <w:rPr>
          <w:rFonts w:cs="Times New Roman"/>
          <w:sz w:val="32"/>
          <w:szCs w:val="32"/>
        </w:rPr>
        <w:t>深入实施“藏粮于地、藏粮于技”战略，加快调整种养结构，推动农业高质量发展，确保粮食基本自给、口粮绝对安全。</w:t>
      </w:r>
      <w:r>
        <w:rPr>
          <w:rFonts w:hint="eastAsia" w:cs="Times New Roman"/>
          <w:sz w:val="32"/>
          <w:szCs w:val="32"/>
          <w:lang w:eastAsia="zh-CN"/>
        </w:rPr>
        <w:t>加强耕地保护，</w:t>
      </w:r>
      <w:r>
        <w:rPr>
          <w:rFonts w:cs="Times New Roman"/>
          <w:sz w:val="32"/>
          <w:szCs w:val="32"/>
        </w:rPr>
        <w:t>全面推进高标准农田建设，新建高标准农田15万亩、宽幅梯田15万亩</w:t>
      </w:r>
      <w:r>
        <w:rPr>
          <w:rFonts w:hint="eastAsia" w:cs="Times New Roman"/>
          <w:sz w:val="32"/>
          <w:szCs w:val="32"/>
        </w:rPr>
        <w:t>，</w:t>
      </w:r>
      <w:r>
        <w:rPr>
          <w:rFonts w:cs="Times New Roman"/>
          <w:sz w:val="32"/>
          <w:szCs w:val="32"/>
        </w:rPr>
        <w:t>主要农作物</w:t>
      </w:r>
      <w:r>
        <w:rPr>
          <w:rFonts w:hint="eastAsia" w:cs="Times New Roman"/>
          <w:sz w:val="32"/>
          <w:szCs w:val="32"/>
        </w:rPr>
        <w:t>生产</w:t>
      </w:r>
      <w:r>
        <w:rPr>
          <w:rFonts w:cs="Times New Roman"/>
          <w:sz w:val="32"/>
          <w:szCs w:val="32"/>
        </w:rPr>
        <w:t>机械化水平达7</w:t>
      </w:r>
      <w:r>
        <w:rPr>
          <w:rFonts w:hint="eastAsia" w:cs="Times New Roman"/>
          <w:sz w:val="32"/>
          <w:szCs w:val="32"/>
          <w:lang w:val="en-US" w:eastAsia="zh-CN"/>
        </w:rPr>
        <w:t>5</w:t>
      </w:r>
      <w:r>
        <w:rPr>
          <w:rFonts w:cs="Times New Roman"/>
          <w:sz w:val="32"/>
          <w:szCs w:val="32"/>
        </w:rPr>
        <w:t>%以上。持续抓好农业科技创新，推广旱作节水农业50万亩，蔬菜瓜果生产新技术、新品种应用率达</w:t>
      </w:r>
      <w:r>
        <w:rPr>
          <w:rFonts w:hint="eastAsia" w:cs="Times New Roman"/>
          <w:sz w:val="32"/>
          <w:szCs w:val="32"/>
          <w:lang w:val="en-US" w:eastAsia="zh-CN"/>
        </w:rPr>
        <w:t>90</w:t>
      </w:r>
      <w:r>
        <w:rPr>
          <w:rFonts w:cs="Times New Roman"/>
          <w:sz w:val="32"/>
          <w:szCs w:val="32"/>
        </w:rPr>
        <w:t>%以上。充分发挥良种增产效应，主要农作物良种应用覆盖率达到99%以上</w:t>
      </w:r>
      <w:r>
        <w:rPr>
          <w:rFonts w:hint="eastAsia" w:cs="Times New Roman"/>
          <w:sz w:val="32"/>
          <w:szCs w:val="32"/>
          <w:lang w:eastAsia="zh-CN"/>
        </w:rPr>
        <w:t>。创建省级农产品质量安全市，加强农业投入品监管，农产品检测合格率达到98%以上。</w:t>
      </w:r>
      <w:r>
        <w:rPr>
          <w:rFonts w:cs="Times New Roman"/>
          <w:sz w:val="32"/>
          <w:szCs w:val="32"/>
        </w:rPr>
        <w:t>“十四五”期间，农作物播种面积稳定在120万亩</w:t>
      </w:r>
      <w:r>
        <w:rPr>
          <w:rFonts w:hint="eastAsia" w:cs="Times New Roman"/>
          <w:sz w:val="32"/>
          <w:szCs w:val="32"/>
          <w:lang w:eastAsia="zh-CN"/>
        </w:rPr>
        <w:t>左右</w:t>
      </w:r>
      <w:r>
        <w:rPr>
          <w:rFonts w:cs="Times New Roman"/>
          <w:sz w:val="32"/>
          <w:szCs w:val="32"/>
        </w:rPr>
        <w:t>，粮食生产能力达到30万吨以上。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sz w:val="32"/>
          <w:szCs w:val="32"/>
        </w:rPr>
      </w:pPr>
      <w:r>
        <w:rPr>
          <w:rFonts w:cs="Times New Roman"/>
          <w:b/>
          <w:bCs/>
          <w:sz w:val="32"/>
          <w:szCs w:val="32"/>
        </w:rPr>
        <w:t>推动三次产业融合发展。</w:t>
      </w:r>
      <w:r>
        <w:rPr>
          <w:rFonts w:cs="Times New Roman"/>
          <w:sz w:val="32"/>
          <w:szCs w:val="32"/>
        </w:rPr>
        <w:t>以“粮经饲统筹、种养加结合”为统领，延长产业链、提升价值链，加快推进三次产业融合发展。以</w:t>
      </w:r>
      <w:r>
        <w:rPr>
          <w:rFonts w:hint="eastAsia" w:ascii="Times New Roman" w:hAnsi="Times New Roman" w:cs="Times New Roman"/>
          <w:sz w:val="32"/>
          <w:szCs w:val="32"/>
          <w:lang w:eastAsia="zh-CN"/>
        </w:rPr>
        <w:t>建设</w:t>
      </w:r>
      <w:r>
        <w:rPr>
          <w:rFonts w:ascii="Times New Roman" w:hAnsi="Times New Roman" w:cs="Times New Roman"/>
          <w:sz w:val="32"/>
          <w:szCs w:val="32"/>
        </w:rPr>
        <w:t>农</w:t>
      </w:r>
      <w:r>
        <w:rPr>
          <w:rFonts w:hint="eastAsia" w:ascii="Times New Roman" w:hAnsi="Times New Roman" w:cs="Times New Roman"/>
          <w:sz w:val="32"/>
          <w:szCs w:val="32"/>
          <w:lang w:eastAsia="zh-CN"/>
        </w:rPr>
        <w:t>业</w:t>
      </w:r>
      <w:r>
        <w:rPr>
          <w:rFonts w:ascii="Times New Roman" w:hAnsi="Times New Roman" w:cs="Times New Roman"/>
          <w:sz w:val="32"/>
          <w:szCs w:val="32"/>
        </w:rPr>
        <w:t>高</w:t>
      </w:r>
      <w:r>
        <w:rPr>
          <w:rFonts w:hint="eastAsia" w:ascii="Times New Roman" w:hAnsi="Times New Roman" w:cs="Times New Roman"/>
          <w:sz w:val="32"/>
          <w:szCs w:val="32"/>
          <w:lang w:eastAsia="zh-CN"/>
        </w:rPr>
        <w:t>新技术产业示范</w:t>
      </w:r>
      <w:r>
        <w:rPr>
          <w:rFonts w:ascii="Times New Roman" w:hAnsi="Times New Roman" w:cs="Times New Roman"/>
          <w:sz w:val="32"/>
          <w:szCs w:val="32"/>
        </w:rPr>
        <w:t>区为载体，</w:t>
      </w:r>
      <w:r>
        <w:rPr>
          <w:rFonts w:cs="Times New Roman"/>
          <w:sz w:val="32"/>
          <w:szCs w:val="32"/>
        </w:rPr>
        <w:t>深度链接种养、农产品加工、</w:t>
      </w:r>
      <w:r>
        <w:rPr>
          <w:rFonts w:hint="eastAsia" w:ascii="Times New Roman" w:hAnsi="Times New Roman" w:cs="Times New Roman"/>
          <w:sz w:val="32"/>
          <w:szCs w:val="32"/>
          <w:lang w:eastAsia="zh-CN"/>
        </w:rPr>
        <w:t>专业社会化服务</w:t>
      </w:r>
      <w:r>
        <w:rPr>
          <w:rFonts w:hint="eastAsia" w:cs="Times New Roman"/>
          <w:sz w:val="32"/>
          <w:szCs w:val="32"/>
          <w:lang w:eastAsia="zh-CN"/>
        </w:rPr>
        <w:t>。</w:t>
      </w:r>
      <w:r>
        <w:rPr>
          <w:rFonts w:cs="Times New Roman"/>
          <w:sz w:val="32"/>
          <w:szCs w:val="32"/>
        </w:rPr>
        <w:t>推进成美嘉元蔬菜</w:t>
      </w:r>
      <w:r>
        <w:rPr>
          <w:rFonts w:hint="eastAsia" w:cs="Times New Roman"/>
          <w:sz w:val="32"/>
          <w:szCs w:val="32"/>
        </w:rPr>
        <w:t>、</w:t>
      </w:r>
      <w:r>
        <w:rPr>
          <w:rFonts w:cs="Times New Roman"/>
          <w:sz w:val="32"/>
          <w:szCs w:val="32"/>
        </w:rPr>
        <w:t>津澳牧业肉牛全产业链</w:t>
      </w:r>
      <w:r>
        <w:rPr>
          <w:rFonts w:hint="eastAsia" w:cs="Times New Roman"/>
          <w:sz w:val="32"/>
          <w:szCs w:val="32"/>
          <w:lang w:eastAsia="zh-CN"/>
        </w:rPr>
        <w:t>、</w:t>
      </w:r>
      <w:r>
        <w:rPr>
          <w:rFonts w:hint="eastAsia" w:ascii="Times New Roman" w:hAnsi="Times New Roman" w:cs="Times New Roman"/>
          <w:sz w:val="32"/>
          <w:szCs w:val="32"/>
          <w:lang w:eastAsia="zh-CN"/>
        </w:rPr>
        <w:t>圣桑集团桑全产业链和</w:t>
      </w:r>
      <w:r>
        <w:rPr>
          <w:rFonts w:cs="Times New Roman"/>
          <w:sz w:val="32"/>
          <w:szCs w:val="32"/>
        </w:rPr>
        <w:t>尚豆元豆制品深加工、珠海华发大健康产业等项目，打造农村一二三产业融合发展先导区和优势特色产业集群。到2025年，建成</w:t>
      </w:r>
      <w:r>
        <w:rPr>
          <w:rFonts w:hint="eastAsia" w:cs="Times New Roman"/>
          <w:sz w:val="32"/>
          <w:szCs w:val="32"/>
        </w:rPr>
        <w:t>榆林市级以上</w:t>
      </w:r>
      <w:r>
        <w:rPr>
          <w:rFonts w:cs="Times New Roman"/>
          <w:sz w:val="32"/>
          <w:szCs w:val="32"/>
        </w:rPr>
        <w:t>现代农业园区</w:t>
      </w:r>
      <w:r>
        <w:rPr>
          <w:rFonts w:hint="eastAsia" w:cs="Times New Roman"/>
          <w:sz w:val="32"/>
          <w:szCs w:val="32"/>
          <w:lang w:val="en-US" w:eastAsia="zh-CN"/>
        </w:rPr>
        <w:t>30</w:t>
      </w:r>
      <w:r>
        <w:rPr>
          <w:rFonts w:cs="Times New Roman"/>
          <w:sz w:val="32"/>
          <w:szCs w:val="32"/>
        </w:rPr>
        <w:t>个</w:t>
      </w:r>
      <w:r>
        <w:rPr>
          <w:rFonts w:hint="eastAsia" w:cs="Times New Roman"/>
          <w:sz w:val="32"/>
          <w:szCs w:val="32"/>
        </w:rPr>
        <w:t>、</w:t>
      </w:r>
      <w:r>
        <w:rPr>
          <w:rFonts w:hint="eastAsia" w:cs="Times New Roman"/>
          <w:sz w:val="32"/>
          <w:szCs w:val="32"/>
          <w:lang w:eastAsia="zh-CN"/>
        </w:rPr>
        <w:t>一二三</w:t>
      </w:r>
      <w:r>
        <w:rPr>
          <w:rFonts w:cs="Times New Roman"/>
          <w:sz w:val="32"/>
          <w:szCs w:val="32"/>
        </w:rPr>
        <w:t>产业融合示范园</w:t>
      </w:r>
      <w:r>
        <w:rPr>
          <w:rFonts w:hint="eastAsia" w:cs="Times New Roman"/>
          <w:sz w:val="32"/>
          <w:szCs w:val="32"/>
          <w:lang w:val="en-US" w:eastAsia="zh-CN"/>
        </w:rPr>
        <w:t>5</w:t>
      </w:r>
      <w:r>
        <w:rPr>
          <w:rFonts w:cs="Times New Roman"/>
          <w:sz w:val="32"/>
          <w:szCs w:val="32"/>
        </w:rPr>
        <w:t>个</w:t>
      </w:r>
      <w:r>
        <w:rPr>
          <w:rFonts w:hint="eastAsia" w:cs="Times New Roman"/>
          <w:sz w:val="32"/>
          <w:szCs w:val="32"/>
        </w:rPr>
        <w:t>，</w:t>
      </w:r>
      <w:r>
        <w:rPr>
          <w:rFonts w:cs="Times New Roman"/>
          <w:sz w:val="32"/>
          <w:szCs w:val="32"/>
        </w:rPr>
        <w:t>农产品加工业产值与农业总产值之比达到0.85。</w:t>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sz w:val="32"/>
          <w:szCs w:val="32"/>
        </w:rPr>
      </w:pPr>
      <w:r>
        <w:rPr>
          <w:rFonts w:cs="Times New Roman"/>
          <w:b/>
          <w:bCs/>
          <w:sz w:val="32"/>
          <w:szCs w:val="32"/>
        </w:rPr>
        <w:t>壮大新型农业经营主体。</w:t>
      </w:r>
      <w:r>
        <w:rPr>
          <w:rFonts w:cs="Times New Roman"/>
          <w:sz w:val="32"/>
          <w:szCs w:val="32"/>
        </w:rPr>
        <w:t>加快培育壮大全产业链型龙头企业，规范发展合作社，奖补并举扶持联户经营、专业大户、家庭农场等新型经营主体</w:t>
      </w:r>
      <w:r>
        <w:rPr>
          <w:rFonts w:hint="eastAsia" w:cs="Times New Roman"/>
          <w:sz w:val="32"/>
          <w:szCs w:val="32"/>
        </w:rPr>
        <w:t>。</w:t>
      </w:r>
      <w:r>
        <w:rPr>
          <w:rFonts w:cs="Times New Roman"/>
          <w:sz w:val="32"/>
          <w:szCs w:val="32"/>
        </w:rPr>
        <w:t>鼓励合作社创新组织形式、运行机制和产业业态，组织建立新型经营主体协会或联盟，构建紧密利益联结机制，逐步提升农业规模化、集约化、组织化</w:t>
      </w:r>
      <w:r>
        <w:rPr>
          <w:rFonts w:hint="eastAsia" w:cs="Times New Roman"/>
          <w:sz w:val="32"/>
          <w:szCs w:val="32"/>
        </w:rPr>
        <w:t>水平</w:t>
      </w:r>
      <w:r>
        <w:rPr>
          <w:rFonts w:cs="Times New Roman"/>
          <w:sz w:val="32"/>
          <w:szCs w:val="32"/>
        </w:rPr>
        <w:t>。做大做强农业产业发展公司，</w:t>
      </w:r>
      <w:r>
        <w:rPr>
          <w:rFonts w:hint="eastAsia" w:cs="Times New Roman"/>
          <w:sz w:val="32"/>
          <w:szCs w:val="32"/>
          <w:lang w:val="en-US" w:eastAsia="zh-CN"/>
        </w:rPr>
        <w:t>实施种子培育发展、农产品智能化仓储、冷链物流工程，</w:t>
      </w:r>
      <w:r>
        <w:rPr>
          <w:rFonts w:cs="Times New Roman"/>
          <w:sz w:val="32"/>
          <w:szCs w:val="32"/>
        </w:rPr>
        <w:t>打造“健康礼包”“放心食材”两个拳头产品，在</w:t>
      </w:r>
      <w:r>
        <w:rPr>
          <w:rFonts w:hint="eastAsia" w:cs="Times New Roman"/>
          <w:sz w:val="32"/>
          <w:szCs w:val="32"/>
        </w:rPr>
        <w:t>北京</w:t>
      </w:r>
      <w:r>
        <w:rPr>
          <w:rFonts w:cs="Times New Roman"/>
          <w:sz w:val="32"/>
          <w:szCs w:val="32"/>
        </w:rPr>
        <w:t>、西安建立实体专营店，引领农业产业升级转型。到2025年，省级龙头企业达</w:t>
      </w:r>
      <w:r>
        <w:rPr>
          <w:rFonts w:hint="eastAsia" w:cs="Times New Roman"/>
          <w:sz w:val="32"/>
          <w:szCs w:val="32"/>
        </w:rPr>
        <w:t>到</w:t>
      </w:r>
      <w:r>
        <w:rPr>
          <w:rFonts w:cs="Times New Roman"/>
          <w:sz w:val="32"/>
          <w:szCs w:val="32"/>
        </w:rPr>
        <w:t>10家，市级（榆林）龙头企业达到20家，其他家庭农场达到500家，示范合作社</w:t>
      </w:r>
      <w:r>
        <w:rPr>
          <w:rFonts w:hint="eastAsia" w:cs="Times New Roman"/>
          <w:sz w:val="32"/>
          <w:szCs w:val="32"/>
          <w:lang w:eastAsia="zh-CN"/>
        </w:rPr>
        <w:t>达到</w:t>
      </w:r>
      <w:r>
        <w:rPr>
          <w:rFonts w:cs="Times New Roman"/>
          <w:sz w:val="32"/>
          <w:szCs w:val="32"/>
        </w:rPr>
        <w:t>100家以上。</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51" w:name="_Toc17802"/>
      <w:r>
        <w:rPr>
          <w:rFonts w:hint="eastAsia" w:ascii="楷体_GB2312" w:hAnsi="楷体_GB2312" w:eastAsia="楷体_GB2312" w:cs="楷体_GB2312"/>
          <w:bCs/>
          <w:sz w:val="32"/>
          <w:szCs w:val="32"/>
        </w:rPr>
        <w:t>第三节 优化农业产业布局</w:t>
      </w:r>
      <w:bookmarkEnd w:id="51"/>
    </w:p>
    <w:p>
      <w:pPr>
        <w:pStyle w:val="10"/>
        <w:keepNext w:val="0"/>
        <w:keepLines w:val="0"/>
        <w:pageBreakBefore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sz w:val="32"/>
          <w:szCs w:val="32"/>
        </w:rPr>
        <w:t>优化农业产业布局，</w:t>
      </w:r>
      <w:r>
        <w:rPr>
          <w:rFonts w:hint="eastAsia" w:ascii="仿宋_GB2312" w:hAnsi="仿宋_GB2312" w:eastAsia="仿宋_GB2312" w:cs="仿宋_GB2312"/>
          <w:sz w:val="32"/>
          <w:szCs w:val="32"/>
          <w:lang w:val="en-US" w:eastAsia="zh-CN"/>
        </w:rPr>
        <w:t>形成北部种养循环生态型功能区、中部优势产业特色型功能区、南部沿黄林果经济优化型功能区和城市</w:t>
      </w:r>
      <w:r>
        <w:rPr>
          <w:rFonts w:hint="eastAsia" w:ascii="仿宋_GB2312" w:hAnsi="仿宋_GB2312" w:eastAsia="仿宋_GB2312" w:cs="仿宋_GB2312"/>
          <w:sz w:val="32"/>
          <w:szCs w:val="32"/>
        </w:rPr>
        <w:t>近郊农业</w:t>
      </w:r>
      <w:r>
        <w:rPr>
          <w:rFonts w:hint="eastAsia" w:ascii="仿宋_GB2312" w:hAnsi="仿宋_GB2312" w:eastAsia="仿宋_GB2312" w:cs="仿宋_GB2312"/>
          <w:sz w:val="32"/>
          <w:szCs w:val="32"/>
          <w:lang w:val="en-US" w:eastAsia="zh-CN"/>
        </w:rPr>
        <w:t>融合型功能</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val="en-US" w:eastAsia="zh-CN"/>
        </w:rPr>
        <w:t>。</w:t>
      </w:r>
      <w:r>
        <w:rPr>
          <w:rFonts w:hint="eastAsia" w:cs="Times New Roman"/>
          <w:sz w:val="32"/>
          <w:szCs w:val="32"/>
          <w:lang w:val="en-US" w:eastAsia="zh-CN"/>
        </w:rPr>
        <w:t>发展</w:t>
      </w:r>
      <w:r>
        <w:rPr>
          <w:rFonts w:cs="Times New Roman"/>
          <w:sz w:val="32"/>
          <w:szCs w:val="32"/>
        </w:rPr>
        <w:t>优质玉米、</w:t>
      </w:r>
      <w:r>
        <w:rPr>
          <w:rFonts w:hint="eastAsia" w:cs="Times New Roman"/>
          <w:sz w:val="32"/>
          <w:szCs w:val="32"/>
          <w:lang w:val="en-US" w:eastAsia="zh-CN"/>
        </w:rPr>
        <w:t>小杂粮</w:t>
      </w:r>
      <w:r>
        <w:rPr>
          <w:rFonts w:hint="eastAsia" w:cs="Times New Roman"/>
          <w:sz w:val="32"/>
          <w:szCs w:val="32"/>
        </w:rPr>
        <w:t>、</w:t>
      </w:r>
      <w:r>
        <w:rPr>
          <w:rFonts w:hint="eastAsia" w:cs="Times New Roman"/>
          <w:sz w:val="32"/>
          <w:szCs w:val="32"/>
          <w:lang w:val="en-US" w:eastAsia="zh-CN"/>
        </w:rPr>
        <w:t>马铃薯、中药材</w:t>
      </w:r>
      <w:r>
        <w:rPr>
          <w:rFonts w:cs="Times New Roman"/>
          <w:sz w:val="32"/>
          <w:szCs w:val="32"/>
        </w:rPr>
        <w:t>等</w:t>
      </w:r>
      <w:r>
        <w:rPr>
          <w:rFonts w:hint="eastAsia" w:cs="Times New Roman"/>
          <w:sz w:val="32"/>
          <w:szCs w:val="32"/>
          <w:lang w:val="en-US" w:eastAsia="zh-CN"/>
        </w:rPr>
        <w:t>十</w:t>
      </w:r>
      <w:r>
        <w:rPr>
          <w:rFonts w:cs="Times New Roman"/>
          <w:sz w:val="32"/>
          <w:szCs w:val="32"/>
        </w:rPr>
        <w:t>大</w:t>
      </w:r>
      <w:r>
        <w:rPr>
          <w:rFonts w:hint="eastAsia" w:cs="Times New Roman"/>
          <w:sz w:val="32"/>
          <w:szCs w:val="32"/>
          <w:lang w:val="en-US" w:eastAsia="zh-CN"/>
        </w:rPr>
        <w:t>产业</w:t>
      </w:r>
      <w:r>
        <w:rPr>
          <w:rFonts w:cs="Times New Roman"/>
          <w:sz w:val="32"/>
          <w:szCs w:val="32"/>
        </w:rPr>
        <w:t>。</w:t>
      </w:r>
      <w:r>
        <w:rPr>
          <w:rFonts w:hint="eastAsia" w:cs="Times New Roman"/>
          <w:sz w:val="32"/>
          <w:szCs w:val="32"/>
          <w:lang w:eastAsia="zh-CN"/>
        </w:rPr>
        <w:t>与陕师大生命科学院深度合作，推动神木道地中药材高品质、高收益、规模化、规范化种植。鼓励发展林麝产业，建立完善技术推广体系和产业服务体系，打造陕北优质林麝产业基地，存栏规模达到</w:t>
      </w:r>
      <w:r>
        <w:rPr>
          <w:rFonts w:hint="eastAsia" w:cs="Times New Roman"/>
          <w:sz w:val="32"/>
          <w:szCs w:val="32"/>
          <w:lang w:val="en-US" w:eastAsia="zh-CN"/>
        </w:rPr>
        <w:t>3000只</w:t>
      </w:r>
      <w:r>
        <w:rPr>
          <w:rFonts w:hint="eastAsia" w:cs="Times New Roman"/>
          <w:sz w:val="32"/>
          <w:szCs w:val="32"/>
          <w:lang w:eastAsia="zh-CN"/>
        </w:rPr>
        <w:t>。</w:t>
      </w:r>
      <w:r>
        <w:rPr>
          <w:rFonts w:hint="eastAsia" w:cs="Times New Roman"/>
          <w:sz w:val="32"/>
          <w:szCs w:val="32"/>
          <w:lang w:val="en-US" w:eastAsia="zh-CN"/>
        </w:rPr>
        <w:t>大力</w:t>
      </w:r>
      <w:r>
        <w:rPr>
          <w:rFonts w:cs="Times New Roman"/>
          <w:sz w:val="32"/>
          <w:szCs w:val="32"/>
        </w:rPr>
        <w:t>发展农产品加工业，加快促进农产品由初级加工向精深加工转变。扩大“国香神木·黄土天成”区域公共品牌影响力，打造享誉省内外的农特产品知名品牌。积极推进绿色食品、有机食品和农产品地理标志认证。到2025年，“三品一标”</w:t>
      </w:r>
      <w:r>
        <w:rPr>
          <w:rStyle w:val="37"/>
          <w:rFonts w:cs="Times New Roman"/>
          <w:sz w:val="32"/>
          <w:szCs w:val="32"/>
        </w:rPr>
        <w:footnoteReference w:id="15"/>
      </w:r>
      <w:r>
        <w:rPr>
          <w:rFonts w:cs="Times New Roman"/>
          <w:sz w:val="32"/>
          <w:szCs w:val="32"/>
        </w:rPr>
        <w:t>产地认证面积达到60万亩。</w:t>
      </w:r>
    </w:p>
    <w:tbl>
      <w:tblPr>
        <w:tblStyle w:val="25"/>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8305" w:type="dxa"/>
          </w:tcPr>
          <w:p>
            <w:pPr>
              <w:pStyle w:val="10"/>
              <w:ind w:firstLine="0" w:firstLineChars="0"/>
              <w:jc w:val="both"/>
              <w:rPr>
                <w:rFonts w:cs="Times New Roman"/>
                <w:b/>
                <w:bCs/>
                <w:sz w:val="32"/>
                <w:szCs w:val="32"/>
                <w:shd w:val="clear" w:color="auto" w:fill="FFFFFF"/>
              </w:rPr>
            </w:pPr>
            <w:r>
              <w:rPr>
                <w:rFonts w:hint="eastAsia" w:ascii="黑体" w:hAnsi="黑体" w:eastAsia="黑体" w:cs="黑体"/>
                <w:sz w:val="24"/>
                <w:szCs w:val="24"/>
                <w:lang w:val="en-US" w:eastAsia="zh-CN" w:bidi="ar-SA"/>
              </w:rPr>
              <w:t>专栏11：</w:t>
            </w:r>
            <w:r>
              <w:rPr>
                <w:rFonts w:hint="eastAsia" w:ascii="黑体" w:hAnsi="黑体" w:eastAsia="黑体" w:cs="黑体"/>
                <w:b w:val="0"/>
                <w:bCs w:val="0"/>
                <w:sz w:val="24"/>
                <w:szCs w:val="24"/>
                <w:shd w:val="clear" w:color="auto" w:fill="FFFFFF"/>
              </w:rPr>
              <w:t xml:space="preserve">   </w:t>
            </w:r>
            <w:r>
              <w:rPr>
                <w:rFonts w:cs="Times New Roman"/>
                <w:sz w:val="32"/>
                <w:szCs w:val="32"/>
                <w:shd w:val="clear" w:color="auto" w:fill="FFFFFF"/>
              </w:rPr>
              <w:t xml:space="preserve">             </w:t>
            </w:r>
            <w:r>
              <w:rPr>
                <w:rFonts w:cs="Times New Roman"/>
                <w:b/>
                <w:bCs/>
                <w:sz w:val="32"/>
                <w:szCs w:val="32"/>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黑体" w:hAnsi="黑体" w:eastAsia="黑体" w:cs="黑体"/>
                <w:b w:val="0"/>
                <w:bCs w:val="0"/>
                <w:sz w:val="28"/>
                <w:szCs w:val="28"/>
                <w:shd w:val="clear" w:color="auto" w:fill="FFFFFF"/>
                <w:lang w:val="en-US" w:eastAsia="zh-CN"/>
              </w:rPr>
            </w:pPr>
            <w:r>
              <w:rPr>
                <w:rFonts w:hint="eastAsia" w:ascii="黑体" w:hAnsi="黑体" w:eastAsia="黑体" w:cs="黑体"/>
                <w:b w:val="0"/>
                <w:bCs w:val="0"/>
                <w:sz w:val="28"/>
                <w:szCs w:val="28"/>
                <w:shd w:val="clear" w:color="auto" w:fill="FFFFFF"/>
                <w:lang w:val="en-US" w:eastAsia="zh-CN"/>
              </w:rPr>
              <w:t>农业基地</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both"/>
              <w:textAlignment w:val="auto"/>
              <w:rPr>
                <w:rFonts w:hint="default" w:ascii="楷体_GB2312" w:hAnsi="楷体_GB2312" w:eastAsia="楷体_GB2312" w:cs="楷体_GB2312"/>
                <w:b/>
                <w:bCs/>
                <w:color w:val="000000" w:themeColor="text1"/>
                <w:sz w:val="24"/>
                <w:szCs w:val="24"/>
                <w:lang w:val="en-US" w:eastAsia="zh-CN"/>
                <w14:textFill>
                  <w14:solidFill>
                    <w14:schemeClr w14:val="tx1"/>
                  </w14:solidFill>
                </w14:textFill>
              </w:rPr>
            </w:pPr>
            <w:r>
              <w:rPr>
                <w:rFonts w:hint="eastAsia" w:ascii="楷体_GB2312" w:hAnsi="楷体_GB2312" w:eastAsia="楷体_GB2312" w:cs="楷体_GB2312"/>
                <w:b/>
                <w:bCs/>
                <w:color w:val="000000" w:themeColor="text1"/>
                <w:sz w:val="24"/>
                <w:szCs w:val="24"/>
                <w:lang w:val="en-US" w:eastAsia="zh-CN"/>
                <w14:textFill>
                  <w14:solidFill>
                    <w14:schemeClr w14:val="tx1"/>
                  </w14:solidFill>
                </w14:textFill>
              </w:rPr>
              <w:t>小杂粮基地：</w:t>
            </w:r>
            <w:r>
              <w:rPr>
                <w:rFonts w:hint="eastAsia" w:ascii="仿宋_GB2312" w:hAnsi="仿宋_GB2312" w:eastAsia="仿宋_GB2312" w:cs="仿宋_GB2312"/>
                <w:sz w:val="24"/>
                <w:szCs w:val="24"/>
                <w:lang w:val="en-US" w:eastAsia="zh-CN" w:bidi="ar-SA"/>
              </w:rPr>
              <w:t>在中南部黄土丘陵沟壑区推广集成现代旱作农业技术，集中连片种植“神木小米”“神木黑豆”等国家地理标志农产品4万亩以上</w:t>
            </w:r>
            <w:r>
              <w:rPr>
                <w:rFonts w:hint="eastAsia" w:ascii="仿宋_GB2312" w:hAnsi="仿宋_GB2312" w:cs="仿宋_GB231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both"/>
              <w:textAlignment w:val="auto"/>
              <w:rPr>
                <w:rFonts w:hint="default" w:ascii="楷体_GB2312" w:hAnsi="楷体_GB2312" w:eastAsia="楷体_GB2312" w:cs="楷体_GB2312"/>
                <w:b/>
                <w:bCs/>
                <w:color w:val="000000" w:themeColor="text1"/>
                <w:sz w:val="24"/>
                <w:szCs w:val="24"/>
                <w:lang w:val="en-US" w:eastAsia="zh-CN"/>
                <w14:textFill>
                  <w14:solidFill>
                    <w14:schemeClr w14:val="tx1"/>
                  </w14:solidFill>
                </w14:textFill>
              </w:rPr>
            </w:pPr>
            <w:r>
              <w:rPr>
                <w:rFonts w:hint="eastAsia" w:ascii="楷体_GB2312" w:hAnsi="楷体_GB2312" w:eastAsia="楷体_GB2312" w:cs="楷体_GB2312"/>
                <w:b/>
                <w:bCs/>
                <w:color w:val="000000" w:themeColor="text1"/>
                <w:sz w:val="24"/>
                <w:szCs w:val="24"/>
                <w:lang w:val="en-US" w:eastAsia="zh-CN"/>
                <w14:textFill>
                  <w14:solidFill>
                    <w14:schemeClr w14:val="tx1"/>
                  </w14:solidFill>
                </w14:textFill>
              </w:rPr>
              <w:t>蔬菜基地：</w:t>
            </w:r>
            <w:r>
              <w:rPr>
                <w:rFonts w:hint="eastAsia" w:ascii="仿宋_GB2312" w:hAnsi="仿宋_GB2312" w:eastAsia="仿宋_GB2312" w:cs="仿宋_GB2312"/>
                <w:sz w:val="24"/>
                <w:szCs w:val="24"/>
                <w:lang w:val="en-US" w:eastAsia="zh-CN" w:bidi="ar-SA"/>
              </w:rPr>
              <w:t>在城郊、北部镇区及“一河两川”滩地，通过粮菜经饲轮作，巩固发展设施蔬菜、大漠蔬菜2000亩/年。到2025年，设施蔬菜总规模达到1.5万亩</w:t>
            </w:r>
            <w:r>
              <w:rPr>
                <w:rFonts w:hint="eastAsia" w:ascii="仿宋_GB2312" w:hAnsi="仿宋_GB2312" w:cs="仿宋_GB231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both"/>
              <w:textAlignment w:val="auto"/>
              <w:rPr>
                <w:rFonts w:hint="default" w:ascii="楷体_GB2312" w:hAnsi="楷体_GB2312" w:eastAsia="楷体_GB2312" w:cs="楷体_GB2312"/>
                <w:b/>
                <w:bCs/>
                <w:color w:val="000000" w:themeColor="text1"/>
                <w:sz w:val="24"/>
                <w:szCs w:val="24"/>
                <w:lang w:val="en-US" w:eastAsia="zh-CN"/>
                <w14:textFill>
                  <w14:solidFill>
                    <w14:schemeClr w14:val="tx1"/>
                  </w14:solidFill>
                </w14:textFill>
              </w:rPr>
            </w:pPr>
            <w:r>
              <w:rPr>
                <w:rFonts w:hint="eastAsia" w:ascii="楷体_GB2312" w:hAnsi="楷体_GB2312" w:eastAsia="楷体_GB2312" w:cs="楷体_GB2312"/>
                <w:b/>
                <w:bCs/>
                <w:color w:val="000000" w:themeColor="text1"/>
                <w:sz w:val="24"/>
                <w:szCs w:val="24"/>
                <w:lang w:val="en-US" w:eastAsia="zh-CN"/>
                <w14:textFill>
                  <w14:solidFill>
                    <w14:schemeClr w14:val="tx1"/>
                  </w14:solidFill>
                </w14:textFill>
              </w:rPr>
              <w:t>中药材种植基地：</w:t>
            </w:r>
            <w:r>
              <w:rPr>
                <w:rFonts w:hint="eastAsia" w:ascii="仿宋_GB2312" w:hAnsi="仿宋_GB2312" w:eastAsia="仿宋_GB2312" w:cs="仿宋_GB2312"/>
                <w:sz w:val="24"/>
                <w:szCs w:val="24"/>
                <w:lang w:val="en-US" w:eastAsia="zh-CN" w:bidi="ar-SA"/>
              </w:rPr>
              <w:t>在中南部地区推广种植柴胡、黄芪等“神六味”中药材，建设高家堡、栏杆堡等中药材育种基地。到2025年，中药材种植面积达5万亩</w:t>
            </w:r>
            <w:r>
              <w:rPr>
                <w:rFonts w:hint="eastAsia" w:ascii="仿宋_GB2312" w:hAnsi="仿宋_GB2312" w:cs="仿宋_GB231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both"/>
              <w:textAlignment w:val="auto"/>
              <w:rPr>
                <w:rFonts w:hint="default" w:ascii="楷体_GB2312" w:hAnsi="楷体_GB2312" w:eastAsia="楷体_GB2312" w:cs="楷体_GB2312"/>
                <w:b/>
                <w:bCs/>
                <w:color w:val="000000" w:themeColor="text1"/>
                <w:sz w:val="24"/>
                <w:szCs w:val="24"/>
                <w:lang w:val="en-US" w:eastAsia="zh-CN"/>
                <w14:textFill>
                  <w14:solidFill>
                    <w14:schemeClr w14:val="tx1"/>
                  </w14:solidFill>
                </w14:textFill>
              </w:rPr>
            </w:pPr>
            <w:r>
              <w:rPr>
                <w:rFonts w:hint="eastAsia" w:ascii="楷体_GB2312" w:hAnsi="楷体_GB2312" w:eastAsia="楷体_GB2312" w:cs="楷体_GB2312"/>
                <w:b/>
                <w:bCs/>
                <w:color w:val="000000" w:themeColor="text1"/>
                <w:sz w:val="24"/>
                <w:szCs w:val="24"/>
                <w:lang w:val="en-US" w:eastAsia="zh-CN"/>
                <w14:textFill>
                  <w14:solidFill>
                    <w14:schemeClr w14:val="tx1"/>
                  </w14:solidFill>
                </w14:textFill>
              </w:rPr>
              <w:t>饲草基地：</w:t>
            </w:r>
            <w:r>
              <w:rPr>
                <w:rFonts w:hint="eastAsia" w:ascii="仿宋_GB2312" w:hAnsi="仿宋_GB2312" w:eastAsia="仿宋_GB2312" w:cs="仿宋_GB2312"/>
                <w:sz w:val="24"/>
                <w:szCs w:val="24"/>
                <w:lang w:val="en-US" w:eastAsia="zh-CN" w:bidi="ar-SA"/>
              </w:rPr>
              <w:t>年发展优质牧草基地2万亩，到2025年，人工饲草保留面积达到200万亩以上</w:t>
            </w:r>
            <w:r>
              <w:rPr>
                <w:rFonts w:hint="eastAsia" w:ascii="仿宋_GB2312" w:hAnsi="仿宋_GB2312" w:cs="仿宋_GB231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both"/>
              <w:textAlignment w:val="auto"/>
              <w:rPr>
                <w:rFonts w:hint="eastAsia" w:ascii="仿宋_GB2312" w:hAnsi="仿宋_GB2312" w:eastAsia="仿宋_GB2312" w:cs="仿宋_GB2312"/>
                <w:sz w:val="24"/>
                <w:szCs w:val="24"/>
                <w:lang w:val="en-US" w:eastAsia="zh-CN" w:bidi="ar-SA"/>
              </w:rPr>
            </w:pPr>
            <w:r>
              <w:rPr>
                <w:rFonts w:hint="eastAsia" w:ascii="楷体_GB2312" w:hAnsi="楷体_GB2312" w:eastAsia="楷体_GB2312" w:cs="楷体_GB2312"/>
                <w:b/>
                <w:bCs/>
                <w:color w:val="000000" w:themeColor="text1"/>
                <w:sz w:val="24"/>
                <w:szCs w:val="24"/>
                <w:lang w:val="en-US" w:eastAsia="zh-CN"/>
                <w14:textFill>
                  <w14:solidFill>
                    <w14:schemeClr w14:val="tx1"/>
                  </w14:solidFill>
                </w14:textFill>
              </w:rPr>
              <w:t>红枣低产改造基地：</w:t>
            </w:r>
            <w:r>
              <w:rPr>
                <w:rFonts w:hint="eastAsia" w:ascii="仿宋_GB2312" w:hAnsi="仿宋_GB2312" w:eastAsia="仿宋_GB2312" w:cs="仿宋_GB2312"/>
                <w:sz w:val="24"/>
                <w:szCs w:val="24"/>
                <w:lang w:val="en-US" w:eastAsia="zh-CN" w:bidi="ar-SA"/>
              </w:rPr>
              <w:t>对现有</w:t>
            </w:r>
            <w:r>
              <w:rPr>
                <w:rFonts w:hint="eastAsia" w:ascii="仿宋_GB2312" w:hAnsi="仿宋_GB2312" w:cs="仿宋_GB2312"/>
                <w:sz w:val="24"/>
                <w:szCs w:val="24"/>
                <w:lang w:val="en-US" w:eastAsia="zh-CN" w:bidi="ar-SA"/>
              </w:rPr>
              <w:t>沿黄</w:t>
            </w:r>
            <w:r>
              <w:rPr>
                <w:rFonts w:hint="eastAsia" w:ascii="仿宋_GB2312" w:hAnsi="仿宋_GB2312" w:eastAsia="仿宋_GB2312" w:cs="仿宋_GB2312"/>
                <w:sz w:val="24"/>
                <w:szCs w:val="24"/>
                <w:lang w:val="en-US" w:eastAsia="zh-CN" w:bidi="ar-SA"/>
              </w:rPr>
              <w:t>红枣进行低产园改造，其中马镇在2年内完成改造，万镇、贺家川镇在5年内完成改造，在马镇建设红枣新品试种基地500亩</w:t>
            </w:r>
            <w:r>
              <w:rPr>
                <w:rFonts w:hint="eastAsia" w:ascii="仿宋_GB2312" w:hAnsi="仿宋_GB2312" w:cs="仿宋_GB2312"/>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562"/>
              <w:jc w:val="both"/>
              <w:textAlignment w:val="auto"/>
              <w:rPr>
                <w:rFonts w:hint="eastAsia" w:ascii="仿宋_GB2312" w:hAnsi="仿宋_GB2312" w:eastAsia="仿宋_GB2312" w:cs="仿宋_GB2312"/>
                <w:sz w:val="24"/>
                <w:szCs w:val="24"/>
                <w:lang w:val="en-US" w:eastAsia="zh-CN" w:bidi="ar-SA"/>
              </w:rPr>
            </w:pPr>
            <w:r>
              <w:rPr>
                <w:rFonts w:hint="eastAsia" w:ascii="楷体_GB2312" w:hAnsi="楷体_GB2312" w:eastAsia="楷体_GB2312" w:cs="楷体_GB2312"/>
                <w:b/>
                <w:bCs/>
                <w:color w:val="000000" w:themeColor="text1"/>
                <w:sz w:val="24"/>
                <w:szCs w:val="24"/>
                <w:lang w:val="en-US" w:eastAsia="zh-CN"/>
                <w14:textFill>
                  <w14:solidFill>
                    <w14:schemeClr w14:val="tx1"/>
                  </w14:solidFill>
                </w14:textFill>
              </w:rPr>
              <w:t>羊子“双百万”工程。</w:t>
            </w:r>
            <w:r>
              <w:rPr>
                <w:rFonts w:hint="eastAsia" w:ascii="仿宋_GB2312" w:hAnsi="仿宋_GB2312" w:eastAsia="仿宋_GB2312" w:cs="仿宋_GB2312"/>
                <w:sz w:val="24"/>
                <w:szCs w:val="24"/>
                <w:lang w:val="en-US" w:eastAsia="zh-CN" w:bidi="ar-SA"/>
              </w:rPr>
              <w:t>建成十万只湖羊养殖基地，建设万只以上规模化养殖场</w:t>
            </w:r>
            <w:r>
              <w:rPr>
                <w:rFonts w:hint="eastAsia" w:ascii="仿宋_GB2312" w:hAnsi="仿宋_GB2312" w:cs="仿宋_GB2312"/>
                <w:sz w:val="24"/>
                <w:szCs w:val="24"/>
                <w:lang w:val="en-US" w:eastAsia="zh-CN" w:bidi="ar-SA"/>
              </w:rPr>
              <w:t>10</w:t>
            </w:r>
            <w:r>
              <w:rPr>
                <w:rFonts w:hint="eastAsia" w:ascii="仿宋_GB2312" w:hAnsi="仿宋_GB2312" w:eastAsia="仿宋_GB2312" w:cs="仿宋_GB2312"/>
                <w:sz w:val="24"/>
                <w:szCs w:val="24"/>
                <w:lang w:val="en-US" w:eastAsia="zh-CN" w:bidi="ar-SA"/>
              </w:rPr>
              <w:t>个，每年引种基础母羊1万只、种公羊200只。到2025年，基础母羊存栏达到20万只，羊子存栏达百万只以上</w:t>
            </w:r>
            <w:r>
              <w:rPr>
                <w:rFonts w:hint="eastAsia" w:ascii="仿宋_GB2312" w:hAnsi="仿宋_GB2312" w:cs="仿宋_GB2312"/>
                <w:sz w:val="24"/>
                <w:szCs w:val="24"/>
                <w:lang w:val="en-US" w:eastAsia="zh-CN" w:bidi="ar-SA"/>
              </w:rPr>
              <w:t>。</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cs="Times New Roman"/>
                <w:color w:val="0000FF"/>
                <w:sz w:val="28"/>
                <w:szCs w:val="24"/>
              </w:rPr>
            </w:pPr>
            <w:r>
              <w:rPr>
                <w:rFonts w:hint="eastAsia" w:ascii="楷体_GB2312" w:hAnsi="楷体_GB2312" w:eastAsia="楷体_GB2312" w:cs="楷体_GB2312"/>
                <w:b/>
                <w:bCs/>
                <w:color w:val="000000" w:themeColor="text1"/>
                <w:sz w:val="24"/>
                <w:szCs w:val="24"/>
                <w:lang w:val="en-US" w:eastAsia="zh-CN"/>
                <w14:textFill>
                  <w14:solidFill>
                    <w14:schemeClr w14:val="tx1"/>
                  </w14:solidFill>
                </w14:textFill>
              </w:rPr>
              <w:t>肉牛基地。</w:t>
            </w:r>
            <w:r>
              <w:rPr>
                <w:rFonts w:hint="eastAsia" w:ascii="仿宋_GB2312" w:hAnsi="仿宋_GB2312" w:eastAsia="仿宋_GB2312" w:cs="仿宋_GB2312"/>
                <w:sz w:val="24"/>
                <w:szCs w:val="24"/>
                <w:lang w:val="en-US" w:eastAsia="zh-CN" w:bidi="ar-SA"/>
              </w:rPr>
              <w:t>按照“合作社+农户+金融+企业+政府”模式，坚持“分散养殖、集中育肥”思路，每年引进优质肉用能繁母牛0.5万头。到2025年，母牛数量达到8万头，肉牛存栏达10万头。</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52" w:name="_Toc4122"/>
      <w:bookmarkStart w:id="53" w:name="_Toc30873"/>
      <w:r>
        <w:rPr>
          <w:rFonts w:hint="eastAsia" w:ascii="楷体_GB2312" w:hAnsi="楷体_GB2312" w:eastAsia="楷体_GB2312" w:cs="楷体_GB2312"/>
          <w:bCs/>
          <w:sz w:val="32"/>
          <w:szCs w:val="32"/>
        </w:rPr>
        <w:t xml:space="preserve">第四节 </w:t>
      </w:r>
      <w:r>
        <w:rPr>
          <w:rFonts w:hint="eastAsia" w:ascii="楷体_GB2312" w:hAnsi="楷体_GB2312" w:eastAsia="楷体_GB2312" w:cs="楷体_GB2312"/>
          <w:bCs/>
          <w:sz w:val="32"/>
          <w:szCs w:val="32"/>
          <w:lang w:eastAsia="zh-CN"/>
        </w:rPr>
        <w:t>深化农村综合改革</w:t>
      </w:r>
      <w:bookmarkEnd w:id="52"/>
    </w:p>
    <w:p>
      <w:pPr>
        <w:ind w:firstLine="640"/>
        <w:jc w:val="both"/>
        <w:rPr>
          <w:rFonts w:hint="eastAsia" w:cs="Times New Roman"/>
          <w:sz w:val="32"/>
          <w:szCs w:val="32"/>
        </w:rPr>
      </w:pPr>
      <w:r>
        <w:rPr>
          <w:rFonts w:hint="eastAsia" w:cs="Times New Roman"/>
          <w:sz w:val="32"/>
          <w:szCs w:val="32"/>
          <w:lang w:val="en-US" w:eastAsia="zh-CN"/>
        </w:rPr>
        <w:t>巩固完善农村基本经营制度，扎实推进二轮土地承包到期后再延长30年工作。建设城乡统一的用地市场，探索农村经营性用地集体入市制度。健全农村闲置土地和撂荒地管理利用机制。完成国家级农村宅基地制度试点改革。保障进城落户农民土地承包权、宅基地使用权、集体收益分配权，鼓励依法自愿有偿转让。深化农村集体产权制度改革，发展新型农村集体经济。鼓励城市工商资本下乡带动农业农村发展。健全农村金融服务体系，发展农业保险，为农业发展保驾护航。</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54" w:name="_Toc9957"/>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五</w:t>
      </w:r>
      <w:r>
        <w:rPr>
          <w:rFonts w:hint="eastAsia" w:ascii="楷体_GB2312" w:hAnsi="楷体_GB2312" w:eastAsia="楷体_GB2312" w:cs="楷体_GB2312"/>
          <w:bCs/>
          <w:sz w:val="32"/>
          <w:szCs w:val="32"/>
        </w:rPr>
        <w:t xml:space="preserve">节 </w:t>
      </w:r>
      <w:bookmarkEnd w:id="53"/>
      <w:r>
        <w:rPr>
          <w:rFonts w:hint="eastAsia" w:ascii="楷体_GB2312" w:hAnsi="楷体_GB2312" w:eastAsia="楷体_GB2312" w:cs="楷体_GB2312"/>
          <w:bCs/>
          <w:sz w:val="32"/>
          <w:szCs w:val="32"/>
        </w:rPr>
        <w:t>完善乡村治理体系</w:t>
      </w:r>
      <w:bookmarkEnd w:id="54"/>
    </w:p>
    <w:p>
      <w:pPr>
        <w:ind w:firstLine="640"/>
        <w:jc w:val="both"/>
        <w:rPr>
          <w:rFonts w:cs="Times New Roman"/>
          <w:sz w:val="32"/>
          <w:szCs w:val="32"/>
        </w:rPr>
      </w:pPr>
      <w:r>
        <w:rPr>
          <w:rFonts w:cs="Times New Roman"/>
          <w:sz w:val="32"/>
          <w:szCs w:val="32"/>
        </w:rPr>
        <w:t>充分发挥基层党组织领导作用，健全和创新村民自治机制，提升</w:t>
      </w:r>
      <w:r>
        <w:rPr>
          <w:rFonts w:hint="eastAsia" w:cs="Times New Roman"/>
          <w:sz w:val="32"/>
          <w:szCs w:val="32"/>
          <w:lang w:eastAsia="zh-CN"/>
        </w:rPr>
        <w:t>基层治理现代水平</w:t>
      </w:r>
      <w:r>
        <w:rPr>
          <w:rFonts w:cs="Times New Roman"/>
          <w:sz w:val="32"/>
          <w:szCs w:val="32"/>
        </w:rPr>
        <w:t>。</w:t>
      </w:r>
      <w:r>
        <w:rPr>
          <w:rFonts w:cs="Times New Roman"/>
          <w:sz w:val="32"/>
          <w:szCs w:val="32"/>
          <w:lang w:val="zh-CN"/>
        </w:rPr>
        <w:t>深入推进法治进</w:t>
      </w:r>
      <w:r>
        <w:rPr>
          <w:rFonts w:cs="Times New Roman"/>
          <w:sz w:val="32"/>
          <w:szCs w:val="32"/>
        </w:rPr>
        <w:t>乡村</w:t>
      </w:r>
      <w:r>
        <w:rPr>
          <w:rFonts w:cs="Times New Roman"/>
          <w:sz w:val="32"/>
          <w:szCs w:val="32"/>
          <w:lang w:val="zh-CN"/>
        </w:rPr>
        <w:t>，</w:t>
      </w:r>
      <w:r>
        <w:rPr>
          <w:rFonts w:cs="Times New Roman"/>
          <w:sz w:val="32"/>
          <w:szCs w:val="32"/>
        </w:rPr>
        <w:t>提高农民法治素养，</w:t>
      </w:r>
      <w:r>
        <w:rPr>
          <w:rFonts w:cs="Times New Roman"/>
          <w:sz w:val="32"/>
          <w:szCs w:val="32"/>
          <w:lang w:val="zh-CN"/>
        </w:rPr>
        <w:t>促进</w:t>
      </w:r>
      <w:r>
        <w:rPr>
          <w:rFonts w:cs="Times New Roman"/>
          <w:sz w:val="32"/>
          <w:szCs w:val="32"/>
        </w:rPr>
        <w:t>农村</w:t>
      </w:r>
      <w:r>
        <w:rPr>
          <w:rFonts w:cs="Times New Roman"/>
          <w:sz w:val="32"/>
          <w:szCs w:val="32"/>
          <w:lang w:val="zh-CN"/>
        </w:rPr>
        <w:t>社会治理法治化。</w:t>
      </w:r>
      <w:r>
        <w:rPr>
          <w:rFonts w:cs="Times New Roman"/>
          <w:sz w:val="32"/>
          <w:szCs w:val="32"/>
        </w:rPr>
        <w:t>健全乡村德治体系，强化道德教化作用，建立健全道德激励约束机制。深化乡风文明</w:t>
      </w:r>
      <w:r>
        <w:rPr>
          <w:rFonts w:hint="eastAsia" w:cs="Times New Roman"/>
          <w:sz w:val="32"/>
          <w:szCs w:val="32"/>
        </w:rPr>
        <w:t>创建</w:t>
      </w:r>
      <w:r>
        <w:rPr>
          <w:rFonts w:cs="Times New Roman"/>
          <w:sz w:val="32"/>
          <w:szCs w:val="32"/>
        </w:rPr>
        <w:t>，推进农村移风易俗，改善农民精神风貌，培育淳朴民风、良好家风、文明乡风，焕发乡村文明新气象。</w:t>
      </w:r>
      <w:r>
        <w:rPr>
          <w:rFonts w:eastAsia="仿宋" w:cs="Times New Roman"/>
          <w:sz w:val="32"/>
          <w:szCs w:val="32"/>
        </w:rPr>
        <w:t>继承和发扬优秀传统文化，激发乡村文化创新创造活力，</w:t>
      </w:r>
      <w:r>
        <w:rPr>
          <w:rFonts w:cs="Times New Roman"/>
          <w:sz w:val="32"/>
          <w:szCs w:val="32"/>
        </w:rPr>
        <w:t>培育</w:t>
      </w:r>
      <w:r>
        <w:rPr>
          <w:rFonts w:eastAsia="仿宋" w:cs="Times New Roman"/>
          <w:color w:val="000000" w:themeColor="text1"/>
          <w:sz w:val="32"/>
          <w:szCs w:val="32"/>
          <w14:textFill>
            <w14:solidFill>
              <w14:schemeClr w14:val="tx1"/>
            </w14:solidFill>
          </w14:textFill>
        </w:rPr>
        <w:t>一批民间、乡间文化遗产保护队伍，对乡村文化遗产进行周期性维护。</w:t>
      </w:r>
      <w:r>
        <w:rPr>
          <w:rFonts w:cs="Times New Roman"/>
          <w:sz w:val="32"/>
          <w:szCs w:val="32"/>
        </w:rPr>
        <w:t>到2025年，文明村镇达标率达到90%以上。</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55" w:name="_Toc12519"/>
      <w:bookmarkStart w:id="56" w:name="_Toc16385"/>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六</w:t>
      </w:r>
      <w:r>
        <w:rPr>
          <w:rFonts w:hint="eastAsia" w:ascii="楷体_GB2312" w:hAnsi="楷体_GB2312" w:eastAsia="楷体_GB2312" w:cs="楷体_GB2312"/>
          <w:bCs/>
          <w:sz w:val="32"/>
          <w:szCs w:val="32"/>
        </w:rPr>
        <w:t xml:space="preserve">节 </w:t>
      </w:r>
      <w:bookmarkEnd w:id="55"/>
      <w:bookmarkStart w:id="57" w:name="_Toc15050"/>
      <w:r>
        <w:rPr>
          <w:rFonts w:hint="eastAsia" w:ascii="楷体_GB2312" w:hAnsi="楷体_GB2312" w:eastAsia="楷体_GB2312" w:cs="楷体_GB2312"/>
          <w:bCs/>
          <w:sz w:val="32"/>
          <w:szCs w:val="32"/>
        </w:rPr>
        <w:t>巩固</w:t>
      </w:r>
      <w:bookmarkEnd w:id="57"/>
      <w:r>
        <w:rPr>
          <w:rFonts w:hint="eastAsia" w:ascii="楷体_GB2312" w:hAnsi="楷体_GB2312" w:eastAsia="楷体_GB2312" w:cs="楷体_GB2312"/>
          <w:bCs/>
          <w:sz w:val="32"/>
          <w:szCs w:val="32"/>
          <w:lang w:eastAsia="zh-CN"/>
        </w:rPr>
        <w:t>拓展</w:t>
      </w:r>
      <w:r>
        <w:rPr>
          <w:rFonts w:hint="eastAsia" w:ascii="楷体_GB2312" w:hAnsi="楷体_GB2312" w:eastAsia="楷体_GB2312" w:cs="楷体_GB2312"/>
          <w:bCs/>
          <w:sz w:val="32"/>
          <w:szCs w:val="32"/>
        </w:rPr>
        <w:t>脱贫攻坚成果</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eastAsia="zh-CN"/>
        </w:rPr>
      </w:pPr>
      <w:r>
        <w:rPr>
          <w:rFonts w:ascii="Times New Roman" w:hAnsi="Times New Roman" w:cs="Times New Roman"/>
          <w:sz w:val="32"/>
          <w:szCs w:val="32"/>
        </w:rPr>
        <w:t>保持脱贫攻坚</w:t>
      </w:r>
      <w:r>
        <w:rPr>
          <w:rFonts w:hint="eastAsia" w:ascii="Times New Roman" w:hAnsi="Times New Roman" w:cs="Times New Roman"/>
          <w:sz w:val="32"/>
          <w:szCs w:val="32"/>
          <w:lang w:val="en-US" w:eastAsia="zh-CN"/>
        </w:rPr>
        <w:t>帮扶</w:t>
      </w:r>
      <w:r>
        <w:rPr>
          <w:rFonts w:ascii="Times New Roman" w:hAnsi="Times New Roman" w:cs="Times New Roman"/>
          <w:sz w:val="32"/>
          <w:szCs w:val="32"/>
        </w:rPr>
        <w:t>政策</w:t>
      </w:r>
      <w:r>
        <w:rPr>
          <w:rFonts w:hint="eastAsia" w:ascii="Times New Roman" w:hAnsi="Times New Roman" w:cs="Times New Roman"/>
          <w:sz w:val="32"/>
          <w:szCs w:val="32"/>
          <w:lang w:val="en-US" w:eastAsia="zh-CN"/>
        </w:rPr>
        <w:t>总体</w:t>
      </w:r>
      <w:r>
        <w:rPr>
          <w:rFonts w:ascii="Times New Roman" w:hAnsi="Times New Roman" w:cs="Times New Roman"/>
          <w:sz w:val="32"/>
          <w:szCs w:val="32"/>
        </w:rPr>
        <w:t>稳定，</w:t>
      </w:r>
      <w:r>
        <w:rPr>
          <w:rFonts w:hint="eastAsia" w:ascii="仿宋_GB2312" w:hAnsi="仿宋" w:eastAsia="仿宋_GB2312" w:cs="仿宋"/>
          <w:b w:val="0"/>
          <w:bCs w:val="0"/>
          <w:sz w:val="32"/>
          <w:szCs w:val="32"/>
          <w:lang w:val="en-US" w:eastAsia="zh-CN"/>
        </w:rPr>
        <w:t>从</w:t>
      </w:r>
      <w:r>
        <w:rPr>
          <w:rFonts w:hint="eastAsia" w:ascii="Times New Roman" w:hAnsi="Times New Roman" w:eastAsia="仿宋_GB2312" w:cs="Times New Roman"/>
          <w:sz w:val="32"/>
          <w:szCs w:val="32"/>
          <w:lang w:eastAsia="zh-CN"/>
        </w:rPr>
        <w:t>解决绝对贫困转向解决相对贫困，逐步实现由集中资源支持脱贫攻坚向全面推进乡村振兴平稳过渡。健全防止返贫动态监测和帮扶机制，对易返贫致贫人口实施常态化监测，重点监测收入水平变化和“两不愁三保障”</w:t>
      </w:r>
      <w:r>
        <w:rPr>
          <w:rStyle w:val="37"/>
          <w:rFonts w:hint="eastAsia" w:ascii="Times New Roman" w:hAnsi="Times New Roman" w:eastAsia="仿宋_GB2312" w:cs="Times New Roman"/>
          <w:sz w:val="32"/>
          <w:szCs w:val="32"/>
          <w:lang w:eastAsia="zh-CN"/>
        </w:rPr>
        <w:footnoteReference w:id="16"/>
      </w:r>
      <w:r>
        <w:rPr>
          <w:rFonts w:hint="eastAsia" w:ascii="Times New Roman" w:hAnsi="Times New Roman" w:eastAsia="仿宋_GB2312" w:cs="Times New Roman"/>
          <w:sz w:val="32"/>
          <w:szCs w:val="32"/>
          <w:lang w:eastAsia="zh-CN"/>
        </w:rPr>
        <w:t>巩固情况，继续精准施策。健全完善多元</w:t>
      </w:r>
      <w:r>
        <w:rPr>
          <w:rFonts w:hint="eastAsia" w:cs="Times New Roman"/>
          <w:sz w:val="32"/>
          <w:szCs w:val="32"/>
          <w:lang w:eastAsia="zh-CN"/>
        </w:rPr>
        <w:t>帮扶</w:t>
      </w:r>
      <w:r>
        <w:rPr>
          <w:rFonts w:hint="eastAsia" w:ascii="Times New Roman" w:hAnsi="Times New Roman" w:eastAsia="仿宋_GB2312" w:cs="Times New Roman"/>
          <w:sz w:val="32"/>
          <w:szCs w:val="32"/>
          <w:lang w:eastAsia="zh-CN"/>
        </w:rPr>
        <w:t>格局，发展壮大特色产业，补齐技术、设施、营销等短板，促进产业提档升级。加强常规性、普惠性和长效性民生建设，缩小教育、卫生等基本公共服务城乡差距，提升劳动力素质，不断激发群众自主发展内生动力。健全精准</w:t>
      </w:r>
      <w:r>
        <w:rPr>
          <w:rFonts w:hint="eastAsia" w:cs="Times New Roman"/>
          <w:sz w:val="32"/>
          <w:szCs w:val="32"/>
          <w:lang w:eastAsia="zh-CN"/>
        </w:rPr>
        <w:t>帮扶</w:t>
      </w:r>
      <w:r>
        <w:rPr>
          <w:rFonts w:hint="eastAsia" w:ascii="Times New Roman" w:hAnsi="Times New Roman" w:eastAsia="仿宋_GB2312" w:cs="Times New Roman"/>
          <w:sz w:val="32"/>
          <w:szCs w:val="32"/>
          <w:lang w:eastAsia="zh-CN"/>
        </w:rPr>
        <w:t>长效机制，实现巩固拓展脱贫攻坚成果同乡村振兴有效衔接。</w:t>
      </w:r>
    </w:p>
    <w:p>
      <w:pPr>
        <w:pStyle w:val="21"/>
        <w:widowControl/>
        <w:adjustRightInd/>
        <w:snapToGrid/>
        <w:spacing w:before="0" w:beforeAutospacing="0" w:after="0" w:afterAutospacing="0" w:line="576" w:lineRule="exact"/>
        <w:ind w:firstLine="640"/>
        <w:jc w:val="both"/>
        <w:rPr>
          <w:rFonts w:ascii="Times New Roman" w:hAnsi="Times New Roman"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p>
    <w:p>
      <w:pPr>
        <w:pStyle w:val="3"/>
        <w:ind w:left="0" w:firstLine="0" w:firstLineChars="0"/>
        <w:jc w:val="center"/>
        <w:rPr>
          <w:rFonts w:hint="default" w:ascii="Times New Roman" w:hAnsi="Times New Roman" w:eastAsia="方正小标宋简体" w:cs="Times New Roman"/>
          <w:w w:val="85"/>
          <w:sz w:val="44"/>
          <w:szCs w:val="44"/>
          <w:lang w:val="en-US" w:eastAsia="zh-CN"/>
        </w:rPr>
      </w:pPr>
      <w:bookmarkStart w:id="58" w:name="_Toc12421"/>
      <w:bookmarkStart w:id="59" w:name="_Toc22885"/>
      <w:r>
        <w:rPr>
          <w:rFonts w:ascii="Times New Roman" w:hAnsi="Times New Roman" w:eastAsia="方正小标宋简体" w:cs="Times New Roman"/>
          <w:w w:val="85"/>
          <w:sz w:val="44"/>
          <w:szCs w:val="44"/>
        </w:rPr>
        <w:t>第九章 优化国土空间，</w:t>
      </w:r>
      <w:r>
        <w:rPr>
          <w:rFonts w:hint="eastAsia" w:ascii="Times New Roman" w:hAnsi="Times New Roman" w:eastAsia="方正小标宋简体" w:cs="Times New Roman"/>
          <w:w w:val="85"/>
          <w:sz w:val="44"/>
          <w:szCs w:val="44"/>
          <w:lang w:val="en-US" w:eastAsia="zh-CN"/>
        </w:rPr>
        <w:t>开创城乡一体</w:t>
      </w:r>
      <w:r>
        <w:rPr>
          <w:rFonts w:ascii="Times New Roman" w:hAnsi="Times New Roman" w:eastAsia="方正小标宋简体" w:cs="Times New Roman"/>
          <w:w w:val="85"/>
          <w:sz w:val="44"/>
          <w:szCs w:val="44"/>
        </w:rPr>
        <w:t>化</w:t>
      </w:r>
      <w:bookmarkEnd w:id="58"/>
      <w:r>
        <w:rPr>
          <w:rFonts w:hint="eastAsia" w:ascii="Times New Roman" w:hAnsi="Times New Roman" w:eastAsia="方正小标宋简体" w:cs="Times New Roman"/>
          <w:w w:val="85"/>
          <w:sz w:val="44"/>
          <w:szCs w:val="44"/>
          <w:lang w:val="en-US" w:eastAsia="zh-CN"/>
        </w:rPr>
        <w:t>发展新局面</w:t>
      </w:r>
      <w:bookmarkEnd w:id="59"/>
    </w:p>
    <w:p>
      <w:pPr>
        <w:pStyle w:val="10"/>
        <w:ind w:firstLine="640"/>
        <w:jc w:val="both"/>
        <w:rPr>
          <w:rFonts w:cs="Times New Roman"/>
          <w:color w:val="000000"/>
          <w:sz w:val="32"/>
          <w:szCs w:val="32"/>
          <w:shd w:val="clear" w:color="auto" w:fill="FFFFFF"/>
          <w:lang w:val="zh-CN"/>
        </w:rPr>
      </w:pPr>
      <w:r>
        <w:rPr>
          <w:rFonts w:cs="Times New Roman"/>
          <w:color w:val="000000"/>
          <w:sz w:val="32"/>
          <w:szCs w:val="32"/>
          <w:shd w:val="clear" w:color="auto" w:fill="FFFFFF"/>
          <w:lang w:val="zh-CN"/>
        </w:rPr>
        <w:t>聚焦城市能级提升，坚持内涵发展、品质发展，着力提升资源要素空间配置效率，构建高质量发展的国土空间布局和</w:t>
      </w:r>
      <w:r>
        <w:rPr>
          <w:rFonts w:hint="eastAsia" w:cs="Times New Roman"/>
          <w:color w:val="000000"/>
          <w:sz w:val="32"/>
          <w:szCs w:val="32"/>
          <w:shd w:val="clear" w:color="auto" w:fill="FFFFFF"/>
          <w:lang w:val="zh-CN"/>
        </w:rPr>
        <w:t>开发</w:t>
      </w:r>
      <w:r>
        <w:rPr>
          <w:rFonts w:cs="Times New Roman"/>
          <w:color w:val="000000"/>
          <w:sz w:val="32"/>
          <w:szCs w:val="32"/>
          <w:shd w:val="clear" w:color="auto" w:fill="FFFFFF"/>
          <w:lang w:val="zh-CN"/>
        </w:rPr>
        <w:t>体系，</w:t>
      </w:r>
      <w:r>
        <w:rPr>
          <w:rFonts w:cs="Times New Roman"/>
          <w:color w:val="000000"/>
          <w:sz w:val="32"/>
          <w:szCs w:val="32"/>
          <w:shd w:val="clear" w:color="auto" w:fill="FFFFFF"/>
        </w:rPr>
        <w:t>推动</w:t>
      </w:r>
      <w:r>
        <w:rPr>
          <w:rFonts w:cs="Times New Roman"/>
          <w:color w:val="000000"/>
          <w:sz w:val="32"/>
          <w:szCs w:val="32"/>
          <w:shd w:val="clear" w:color="auto" w:fill="FFFFFF"/>
          <w:lang w:val="zh-CN"/>
        </w:rPr>
        <w:t>产业协同、产城协同、区域协同</w:t>
      </w:r>
      <w:r>
        <w:rPr>
          <w:rFonts w:cs="Times New Roman"/>
          <w:color w:val="000000"/>
          <w:sz w:val="32"/>
          <w:szCs w:val="32"/>
          <w:shd w:val="clear" w:color="auto" w:fill="FFFFFF"/>
        </w:rPr>
        <w:t>发展。</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60" w:name="_Toc12260"/>
      <w:bookmarkStart w:id="61" w:name="_Toc10114"/>
      <w:r>
        <w:rPr>
          <w:rFonts w:hint="eastAsia" w:ascii="楷体_GB2312" w:hAnsi="楷体_GB2312" w:eastAsia="楷体_GB2312" w:cs="楷体_GB2312"/>
          <w:bCs/>
          <w:sz w:val="32"/>
          <w:szCs w:val="32"/>
        </w:rPr>
        <w:t>第一节 构建国土开发保护新格局</w:t>
      </w:r>
      <w:bookmarkEnd w:id="60"/>
      <w:bookmarkEnd w:id="61"/>
    </w:p>
    <w:p>
      <w:pPr>
        <w:pStyle w:val="10"/>
        <w:ind w:firstLine="640"/>
        <w:jc w:val="both"/>
        <w:rPr>
          <w:rFonts w:hint="default" w:eastAsia="仿宋_GB2312" w:cs="Times New Roman"/>
          <w:b/>
          <w:bCs/>
          <w:sz w:val="32"/>
          <w:szCs w:val="32"/>
          <w:lang w:val="en-US" w:eastAsia="zh-CN"/>
        </w:rPr>
      </w:pPr>
      <w:r>
        <w:rPr>
          <w:rFonts w:hint="eastAsia" w:cs="Times New Roman"/>
          <w:b/>
          <w:bCs/>
          <w:sz w:val="32"/>
          <w:szCs w:val="32"/>
          <w:lang w:val="en-US" w:eastAsia="zh-CN"/>
        </w:rPr>
        <w:t>优化国土空间布局。</w:t>
      </w:r>
      <w:r>
        <w:rPr>
          <w:rFonts w:cs="Times New Roman"/>
          <w:color w:val="000000"/>
          <w:sz w:val="32"/>
          <w:szCs w:val="32"/>
          <w:shd w:val="clear" w:color="auto" w:fill="FFFFFF"/>
          <w:lang w:val="zh-CN"/>
        </w:rPr>
        <w:t>根据</w:t>
      </w:r>
      <w:r>
        <w:rPr>
          <w:rFonts w:hint="eastAsia" w:cs="Times New Roman"/>
          <w:color w:val="000000"/>
          <w:sz w:val="32"/>
          <w:szCs w:val="32"/>
          <w:shd w:val="clear" w:color="auto" w:fill="FFFFFF"/>
          <w:lang w:val="en-US" w:eastAsia="zh-CN"/>
        </w:rPr>
        <w:t>主体功能区定位、自然条件和发展定位，构建</w:t>
      </w:r>
      <w:r>
        <w:rPr>
          <w:rFonts w:hint="eastAsia" w:cs="Times New Roman"/>
          <w:b/>
          <w:bCs/>
          <w:color w:val="000000"/>
          <w:sz w:val="32"/>
          <w:szCs w:val="32"/>
          <w:shd w:val="clear" w:color="auto" w:fill="FFFFFF"/>
          <w:lang w:val="en-US" w:eastAsia="zh-CN"/>
        </w:rPr>
        <w:t>“一体两翼多点、一河两川一轴”</w:t>
      </w:r>
      <w:r>
        <w:rPr>
          <w:rFonts w:hint="eastAsia" w:cs="Times New Roman"/>
          <w:color w:val="000000"/>
          <w:sz w:val="32"/>
          <w:szCs w:val="32"/>
          <w:shd w:val="clear" w:color="auto" w:fill="FFFFFF"/>
          <w:lang w:val="en-US" w:eastAsia="zh-CN"/>
        </w:rPr>
        <w:t>城镇空间开发格局。</w:t>
      </w:r>
      <w:r>
        <w:rPr>
          <w:rFonts w:hint="eastAsia" w:cs="Times New Roman"/>
          <w:b/>
          <w:bCs/>
          <w:color w:val="000000"/>
          <w:sz w:val="32"/>
          <w:szCs w:val="32"/>
          <w:shd w:val="clear" w:color="auto" w:fill="FFFFFF"/>
          <w:lang w:val="en-US" w:eastAsia="zh-CN"/>
        </w:rPr>
        <w:t>一体</w:t>
      </w:r>
      <w:r>
        <w:rPr>
          <w:rFonts w:hint="eastAsia" w:cs="Times New Roman"/>
          <w:color w:val="000000"/>
          <w:sz w:val="32"/>
          <w:szCs w:val="32"/>
          <w:shd w:val="clear" w:color="auto" w:fill="FFFFFF"/>
          <w:lang w:val="en-US" w:eastAsia="zh-CN"/>
        </w:rPr>
        <w:t>即以中心城区为主体，</w:t>
      </w:r>
      <w:r>
        <w:rPr>
          <w:rFonts w:hint="eastAsia" w:cs="Times New Roman"/>
          <w:b/>
          <w:bCs/>
          <w:color w:val="000000"/>
          <w:sz w:val="32"/>
          <w:szCs w:val="32"/>
          <w:shd w:val="clear" w:color="auto" w:fill="FFFFFF"/>
          <w:lang w:val="en-US" w:eastAsia="zh-CN"/>
        </w:rPr>
        <w:t>两翼</w:t>
      </w:r>
      <w:r>
        <w:rPr>
          <w:rFonts w:hint="eastAsia" w:cs="Times New Roman"/>
          <w:color w:val="000000"/>
          <w:sz w:val="32"/>
          <w:szCs w:val="32"/>
          <w:shd w:val="clear" w:color="auto" w:fill="FFFFFF"/>
          <w:lang w:val="en-US" w:eastAsia="zh-CN"/>
        </w:rPr>
        <w:t>即西翼锦界</w:t>
      </w:r>
      <w:r>
        <w:rPr>
          <w:rFonts w:hint="eastAsia" w:ascii="微软雅黑" w:hAnsi="微软雅黑" w:eastAsia="微软雅黑" w:cs="微软雅黑"/>
          <w:color w:val="000000"/>
          <w:sz w:val="32"/>
          <w:szCs w:val="32"/>
          <w:shd w:val="clear" w:color="auto" w:fill="FFFFFF"/>
          <w:lang w:val="en-US" w:eastAsia="zh-CN"/>
        </w:rPr>
        <w:t>-</w:t>
      </w:r>
      <w:r>
        <w:rPr>
          <w:rFonts w:hint="eastAsia" w:cs="Times New Roman"/>
          <w:color w:val="000000"/>
          <w:sz w:val="32"/>
          <w:szCs w:val="32"/>
          <w:shd w:val="clear" w:color="auto" w:fill="FFFFFF"/>
          <w:lang w:val="en-US" w:eastAsia="zh-CN"/>
        </w:rPr>
        <w:t>大保当城镇组团，北翼大柳塔</w:t>
      </w:r>
      <w:r>
        <w:rPr>
          <w:rFonts w:hint="eastAsia" w:ascii="微软雅黑" w:hAnsi="微软雅黑" w:eastAsia="微软雅黑" w:cs="微软雅黑"/>
          <w:color w:val="000000"/>
          <w:sz w:val="32"/>
          <w:szCs w:val="32"/>
          <w:shd w:val="clear" w:color="auto" w:fill="FFFFFF"/>
          <w:lang w:val="en-US" w:eastAsia="zh-CN"/>
        </w:rPr>
        <w:t>-</w:t>
      </w:r>
      <w:r>
        <w:rPr>
          <w:rFonts w:hint="eastAsia" w:cs="Times New Roman"/>
          <w:color w:val="000000"/>
          <w:sz w:val="32"/>
          <w:szCs w:val="32"/>
          <w:shd w:val="clear" w:color="auto" w:fill="FFFFFF"/>
          <w:lang w:val="en-US" w:eastAsia="zh-CN"/>
        </w:rPr>
        <w:t>孙家岔城镇组团试验区，</w:t>
      </w:r>
      <w:r>
        <w:rPr>
          <w:rFonts w:hint="eastAsia" w:cs="Times New Roman"/>
          <w:b/>
          <w:bCs/>
          <w:color w:val="000000"/>
          <w:sz w:val="32"/>
          <w:szCs w:val="32"/>
          <w:shd w:val="clear" w:color="auto" w:fill="FFFFFF"/>
          <w:lang w:val="en-US" w:eastAsia="zh-CN"/>
        </w:rPr>
        <w:t>多点</w:t>
      </w:r>
      <w:r>
        <w:rPr>
          <w:rFonts w:hint="eastAsia" w:cs="Times New Roman"/>
          <w:color w:val="000000"/>
          <w:sz w:val="32"/>
          <w:szCs w:val="32"/>
          <w:shd w:val="clear" w:color="auto" w:fill="FFFFFF"/>
          <w:lang w:val="en-US" w:eastAsia="zh-CN"/>
        </w:rPr>
        <w:t>即重点镇、特色镇、园区等多个节点；</w:t>
      </w:r>
      <w:r>
        <w:rPr>
          <w:rFonts w:hint="eastAsia" w:cs="Times New Roman"/>
          <w:b/>
          <w:bCs/>
          <w:color w:val="000000"/>
          <w:sz w:val="32"/>
          <w:szCs w:val="32"/>
          <w:shd w:val="clear" w:color="auto" w:fill="FFFFFF"/>
          <w:lang w:val="en-US" w:eastAsia="zh-CN"/>
        </w:rPr>
        <w:t>一河</w:t>
      </w:r>
      <w:r>
        <w:rPr>
          <w:rFonts w:hint="eastAsia" w:cs="Times New Roman"/>
          <w:color w:val="000000"/>
          <w:sz w:val="32"/>
          <w:szCs w:val="32"/>
          <w:shd w:val="clear" w:color="auto" w:fill="FFFFFF"/>
          <w:lang w:val="en-US" w:eastAsia="zh-CN"/>
        </w:rPr>
        <w:t>即黄河生态优美小镇带，</w:t>
      </w:r>
      <w:r>
        <w:rPr>
          <w:rFonts w:hint="eastAsia" w:cs="Times New Roman"/>
          <w:b/>
          <w:bCs/>
          <w:color w:val="000000"/>
          <w:sz w:val="32"/>
          <w:szCs w:val="32"/>
          <w:shd w:val="clear" w:color="auto" w:fill="FFFFFF"/>
          <w:lang w:val="en-US" w:eastAsia="zh-CN"/>
        </w:rPr>
        <w:t>两川</w:t>
      </w:r>
      <w:r>
        <w:rPr>
          <w:rFonts w:hint="eastAsia" w:cs="Times New Roman"/>
          <w:color w:val="000000"/>
          <w:sz w:val="32"/>
          <w:szCs w:val="32"/>
          <w:shd w:val="clear" w:color="auto" w:fill="FFFFFF"/>
          <w:lang w:val="en-US" w:eastAsia="zh-CN"/>
        </w:rPr>
        <w:t>即窟野河川城镇集聚发展带、秃尾河川文化魅力小镇带，</w:t>
      </w:r>
      <w:r>
        <w:rPr>
          <w:rFonts w:hint="eastAsia" w:cs="Times New Roman"/>
          <w:b/>
          <w:bCs/>
          <w:color w:val="000000"/>
          <w:sz w:val="32"/>
          <w:szCs w:val="32"/>
          <w:shd w:val="clear" w:color="auto" w:fill="FFFFFF"/>
          <w:lang w:val="en-US" w:eastAsia="zh-CN"/>
        </w:rPr>
        <w:t>一轴</w:t>
      </w:r>
      <w:r>
        <w:rPr>
          <w:rFonts w:hint="eastAsia" w:cs="Times New Roman"/>
          <w:color w:val="000000"/>
          <w:sz w:val="32"/>
          <w:szCs w:val="32"/>
          <w:shd w:val="clear" w:color="auto" w:fill="FFFFFF"/>
          <w:lang w:val="en-US" w:eastAsia="zh-CN"/>
        </w:rPr>
        <w:t>为榆神府城镇发展主轴。依托区域自然环境和资源承载力，突出重要生态保护、基本农田保护和文物保护三大保护主体，构建</w:t>
      </w:r>
      <w:r>
        <w:rPr>
          <w:rFonts w:hint="eastAsia" w:cs="Times New Roman"/>
          <w:b/>
          <w:bCs/>
          <w:color w:val="000000"/>
          <w:sz w:val="32"/>
          <w:szCs w:val="32"/>
          <w:shd w:val="clear" w:color="auto" w:fill="FFFFFF"/>
          <w:lang w:val="en-US" w:eastAsia="zh-CN"/>
        </w:rPr>
        <w:t>“两区两带多廊”</w:t>
      </w:r>
      <w:r>
        <w:rPr>
          <w:rFonts w:hint="eastAsia" w:cs="Times New Roman"/>
          <w:color w:val="000000"/>
          <w:sz w:val="32"/>
          <w:szCs w:val="32"/>
          <w:shd w:val="clear" w:color="auto" w:fill="FFFFFF"/>
          <w:lang w:val="en-US" w:eastAsia="zh-CN"/>
        </w:rPr>
        <w:t>生态保护格局，</w:t>
      </w:r>
      <w:r>
        <w:rPr>
          <w:rFonts w:hint="eastAsia" w:cs="Times New Roman"/>
          <w:b/>
          <w:bCs/>
          <w:color w:val="000000"/>
          <w:sz w:val="32"/>
          <w:szCs w:val="32"/>
          <w:shd w:val="clear" w:color="auto" w:fill="FFFFFF"/>
          <w:lang w:val="en-US" w:eastAsia="zh-CN"/>
        </w:rPr>
        <w:t>两区</w:t>
      </w:r>
      <w:r>
        <w:rPr>
          <w:rFonts w:hint="eastAsia" w:cs="Times New Roman"/>
          <w:color w:val="000000"/>
          <w:sz w:val="32"/>
          <w:szCs w:val="32"/>
          <w:shd w:val="clear" w:color="auto" w:fill="FFFFFF"/>
          <w:lang w:val="en-US" w:eastAsia="zh-CN"/>
        </w:rPr>
        <w:t>即防风固沙生态功能区、水土保持生态功能区，</w:t>
      </w:r>
      <w:r>
        <w:rPr>
          <w:rFonts w:hint="eastAsia" w:cs="Times New Roman"/>
          <w:b/>
          <w:bCs/>
          <w:color w:val="000000"/>
          <w:sz w:val="32"/>
          <w:szCs w:val="32"/>
          <w:shd w:val="clear" w:color="auto" w:fill="FFFFFF"/>
          <w:lang w:val="en-US" w:eastAsia="zh-CN"/>
        </w:rPr>
        <w:t>两带</w:t>
      </w:r>
      <w:r>
        <w:rPr>
          <w:rFonts w:hint="eastAsia" w:cs="Times New Roman"/>
          <w:color w:val="000000"/>
          <w:sz w:val="32"/>
          <w:szCs w:val="32"/>
          <w:shd w:val="clear" w:color="auto" w:fill="FFFFFF"/>
          <w:lang w:val="en-US" w:eastAsia="zh-CN"/>
        </w:rPr>
        <w:t>防风固沙生态带、沿黄生态景观带，</w:t>
      </w:r>
      <w:r>
        <w:rPr>
          <w:rFonts w:hint="eastAsia" w:cs="Times New Roman"/>
          <w:b/>
          <w:bCs/>
          <w:color w:val="000000"/>
          <w:sz w:val="32"/>
          <w:szCs w:val="32"/>
          <w:shd w:val="clear" w:color="auto" w:fill="FFFFFF"/>
          <w:lang w:val="en-US" w:eastAsia="zh-CN"/>
        </w:rPr>
        <w:t>多廊</w:t>
      </w:r>
      <w:r>
        <w:rPr>
          <w:rFonts w:hint="eastAsia" w:cs="Times New Roman"/>
          <w:color w:val="000000"/>
          <w:sz w:val="32"/>
          <w:szCs w:val="32"/>
          <w:shd w:val="clear" w:color="auto" w:fill="FFFFFF"/>
          <w:lang w:val="en-US" w:eastAsia="zh-CN"/>
        </w:rPr>
        <w:t>即红碱淖-秃尾河、窟野河、生物多样性等生态廊道。</w:t>
      </w:r>
    </w:p>
    <w:p>
      <w:pPr>
        <w:pStyle w:val="10"/>
        <w:ind w:firstLine="640"/>
        <w:jc w:val="both"/>
        <w:rPr>
          <w:rFonts w:cs="Times New Roman"/>
          <w:sz w:val="32"/>
          <w:szCs w:val="32"/>
        </w:rPr>
      </w:pPr>
      <w:r>
        <w:rPr>
          <w:rFonts w:hint="eastAsia" w:cs="Times New Roman"/>
          <w:b/>
          <w:bCs/>
          <w:sz w:val="32"/>
          <w:szCs w:val="32"/>
          <w:lang w:val="en-US" w:eastAsia="zh-CN"/>
        </w:rPr>
        <w:t>强化国土空间管控。</w:t>
      </w:r>
      <w:r>
        <w:rPr>
          <w:rFonts w:cs="Times New Roman"/>
          <w:sz w:val="32"/>
          <w:szCs w:val="32"/>
        </w:rPr>
        <w:t>制定国土空间开发负面清单，构建以空间规划、用途管制、差异化绩效考评</w:t>
      </w:r>
      <w:r>
        <w:rPr>
          <w:rFonts w:hint="eastAsia" w:cs="Times New Roman"/>
          <w:sz w:val="32"/>
          <w:szCs w:val="32"/>
        </w:rPr>
        <w:t>为主的</w:t>
      </w:r>
      <w:r>
        <w:rPr>
          <w:rFonts w:cs="Times New Roman"/>
          <w:sz w:val="32"/>
          <w:szCs w:val="32"/>
        </w:rPr>
        <w:t>空间治理体系。推进土地管理制度改革，建设用地向中心城区、产业园区、重点镇倾斜。严格三条控制线监测监管，生态保护红线原则上按禁止开发区域要求管理，确保生态功能不降低、面积不减少、性质不改变。建立健全“划、建、管、补、护”长效机制，确保永久基本农田面积不减、质量提升、布局稳定。严格城镇开发边界管控，促进城镇和园区发展由外延扩张向内涵提升转变。</w:t>
      </w:r>
    </w:p>
    <w:tbl>
      <w:tblPr>
        <w:tblStyle w:val="25"/>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8346" w:type="dxa"/>
          </w:tcPr>
          <w:p>
            <w:pPr>
              <w:pStyle w:val="10"/>
              <w:ind w:firstLine="0" w:firstLineChars="0"/>
              <w:jc w:val="both"/>
              <w:rPr>
                <w:rFonts w:cs="Times New Roman"/>
                <w:sz w:val="32"/>
                <w:szCs w:val="32"/>
                <w:shd w:val="clear" w:color="auto" w:fill="FFFFFF"/>
              </w:rPr>
            </w:pPr>
            <w:r>
              <w:rPr>
                <w:rFonts w:hint="eastAsia" w:ascii="黑体" w:hAnsi="黑体" w:eastAsia="黑体" w:cs="黑体"/>
                <w:sz w:val="24"/>
                <w:szCs w:val="24"/>
                <w:lang w:val="en-US" w:eastAsia="zh-CN" w:bidi="ar-SA"/>
              </w:rPr>
              <w:t xml:space="preserve">专栏12： </w:t>
            </w:r>
            <w:r>
              <w:rPr>
                <w:rFonts w:hint="eastAsia" w:ascii="黑体" w:hAnsi="黑体" w:eastAsia="黑体" w:cs="黑体"/>
                <w:b/>
                <w:bCs/>
                <w:sz w:val="24"/>
                <w:szCs w:val="24"/>
                <w:shd w:val="clear" w:color="auto" w:fill="FFFFFF"/>
              </w:rPr>
              <w:t xml:space="preserve">  </w:t>
            </w:r>
            <w:r>
              <w:rPr>
                <w:rFonts w:cs="Times New Roman"/>
                <w:sz w:val="32"/>
                <w:szCs w:val="32"/>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黑体" w:hAnsi="黑体" w:eastAsia="黑体" w:cs="黑体"/>
                <w:b w:val="0"/>
                <w:bCs w:val="0"/>
                <w:sz w:val="28"/>
                <w:szCs w:val="28"/>
                <w:shd w:val="clear" w:color="auto" w:fill="FFFFFF"/>
              </w:rPr>
            </w:pPr>
            <w:r>
              <w:rPr>
                <w:rFonts w:hint="eastAsia" w:ascii="黑体" w:hAnsi="黑体" w:eastAsia="黑体" w:cs="黑体"/>
                <w:b w:val="0"/>
                <w:bCs w:val="0"/>
                <w:sz w:val="28"/>
                <w:szCs w:val="28"/>
                <w:shd w:val="clear" w:color="auto" w:fill="FFFFFF"/>
              </w:rPr>
              <w:t>国土空间布局</w:t>
            </w:r>
          </w:p>
          <w:p>
            <w:pPr>
              <w:pStyle w:val="10"/>
              <w:spacing w:line="400" w:lineRule="exact"/>
              <w:ind w:firstLine="482"/>
              <w:jc w:val="both"/>
              <w:rPr>
                <w:rFonts w:hint="eastAsia" w:ascii="仿宋_GB2312" w:hAnsi="仿宋_GB2312" w:eastAsia="仿宋_GB2312" w:cs="仿宋_GB2312"/>
                <w:color w:val="000000"/>
                <w:sz w:val="24"/>
                <w:szCs w:val="24"/>
                <w:shd w:val="clear" w:color="auto" w:fill="FFFFFF"/>
                <w:lang w:eastAsia="zh-CN"/>
              </w:rPr>
            </w:pPr>
            <w:r>
              <w:rPr>
                <w:rFonts w:hint="eastAsia" w:ascii="楷体" w:hAnsi="楷体" w:eastAsia="楷体" w:cs="楷体"/>
                <w:b/>
                <w:bCs/>
                <w:color w:val="000000"/>
                <w:sz w:val="24"/>
                <w:szCs w:val="24"/>
                <w:shd w:val="clear" w:color="auto" w:fill="FFFFFF"/>
              </w:rPr>
              <w:t>生态空间：</w:t>
            </w:r>
            <w:r>
              <w:rPr>
                <w:rFonts w:hint="eastAsia" w:ascii="仿宋_GB2312" w:hAnsi="仿宋_GB2312" w:cs="仿宋_GB2312"/>
                <w:color w:val="000000"/>
                <w:sz w:val="24"/>
                <w:szCs w:val="24"/>
                <w:shd w:val="clear" w:color="auto" w:fill="FFFFFF"/>
              </w:rPr>
              <w:t>总面积</w:t>
            </w:r>
            <w:r>
              <w:rPr>
                <w:rFonts w:hint="eastAsia" w:ascii="仿宋_GB2312" w:hAnsi="仿宋"/>
                <w:sz w:val="24"/>
                <w:szCs w:val="24"/>
              </w:rPr>
              <w:t>3474.71</w:t>
            </w:r>
            <w:r>
              <w:rPr>
                <w:rFonts w:hint="eastAsia" w:ascii="仿宋_GB2312" w:hAnsi="仿宋_GB2312" w:cs="仿宋_GB2312"/>
                <w:color w:val="000000"/>
                <w:sz w:val="24"/>
                <w:szCs w:val="24"/>
                <w:shd w:val="clear" w:color="auto" w:fill="FFFFFF"/>
              </w:rPr>
              <w:t>km</w:t>
            </w:r>
            <w:r>
              <w:rPr>
                <w:rFonts w:hint="eastAsia" w:ascii="仿宋_GB2312" w:hAnsi="仿宋_GB2312" w:cs="仿宋_GB2312"/>
                <w:color w:val="000000"/>
                <w:sz w:val="24"/>
                <w:szCs w:val="24"/>
                <w:shd w:val="clear" w:color="auto" w:fill="FFFFFF"/>
                <w:vertAlign w:val="superscript"/>
              </w:rPr>
              <w:t>2</w:t>
            </w:r>
            <w:r>
              <w:rPr>
                <w:rFonts w:hint="eastAsia" w:ascii="仿宋_GB2312" w:hAnsi="仿宋_GB2312" w:cs="仿宋_GB2312"/>
                <w:color w:val="000000"/>
                <w:sz w:val="24"/>
                <w:szCs w:val="24"/>
                <w:shd w:val="clear" w:color="auto" w:fill="FFFFFF"/>
              </w:rPr>
              <w:t>，占国土空间面积的</w:t>
            </w:r>
            <w:r>
              <w:rPr>
                <w:rFonts w:hint="eastAsia" w:ascii="仿宋_GB2312" w:hAnsi="仿宋"/>
                <w:sz w:val="24"/>
                <w:szCs w:val="24"/>
              </w:rPr>
              <w:t>46.49</w:t>
            </w:r>
            <w:r>
              <w:rPr>
                <w:rFonts w:hint="eastAsia" w:ascii="仿宋_GB2312" w:hAnsi="仿宋_GB2312" w:cs="仿宋_GB2312"/>
                <w:color w:val="000000"/>
                <w:sz w:val="24"/>
                <w:szCs w:val="24"/>
                <w:shd w:val="clear" w:color="auto" w:fill="FFFFFF"/>
              </w:rPr>
              <w:t>%，形成“</w:t>
            </w:r>
            <w:r>
              <w:rPr>
                <w:rFonts w:hint="eastAsia" w:ascii="仿宋_GB2312" w:hAnsi="仿宋"/>
                <w:b/>
                <w:bCs/>
                <w:sz w:val="24"/>
                <w:szCs w:val="24"/>
                <w:lang w:val="en-US" w:eastAsia="zh-CN"/>
              </w:rPr>
              <w:t>两</w:t>
            </w:r>
            <w:r>
              <w:rPr>
                <w:rFonts w:hint="eastAsia" w:ascii="仿宋_GB2312" w:hAnsi="仿宋"/>
                <w:b/>
                <w:bCs/>
                <w:sz w:val="24"/>
                <w:szCs w:val="24"/>
              </w:rPr>
              <w:t>区</w:t>
            </w:r>
            <w:r>
              <w:rPr>
                <w:rFonts w:hint="eastAsia" w:ascii="仿宋_GB2312" w:hAnsi="仿宋"/>
                <w:b/>
                <w:bCs/>
                <w:sz w:val="24"/>
                <w:szCs w:val="24"/>
                <w:lang w:val="en-US" w:eastAsia="zh-CN"/>
              </w:rPr>
              <w:t>两带多</w:t>
            </w:r>
            <w:r>
              <w:rPr>
                <w:rFonts w:hint="eastAsia" w:ascii="仿宋_GB2312" w:hAnsi="仿宋"/>
                <w:b/>
                <w:bCs/>
                <w:sz w:val="24"/>
                <w:szCs w:val="24"/>
              </w:rPr>
              <w:t>廊</w:t>
            </w:r>
            <w:r>
              <w:rPr>
                <w:rFonts w:hint="eastAsia" w:ascii="仿宋_GB2312" w:hAnsi="仿宋_GB2312" w:cs="仿宋_GB2312"/>
                <w:color w:val="000000"/>
                <w:sz w:val="24"/>
                <w:szCs w:val="24"/>
                <w:shd w:val="clear" w:color="auto" w:fill="FFFFFF"/>
              </w:rPr>
              <w:t>”生态保护格局；生态保护红线：总面积</w:t>
            </w:r>
            <w:r>
              <w:rPr>
                <w:rFonts w:hint="eastAsia" w:ascii="仿宋_GB2312" w:hAnsi="仿宋"/>
                <w:sz w:val="24"/>
                <w:szCs w:val="24"/>
              </w:rPr>
              <w:t>1820.95</w:t>
            </w:r>
            <w:r>
              <w:rPr>
                <w:rFonts w:hint="eastAsia" w:ascii="仿宋_GB2312" w:hAnsi="仿宋_GB2312" w:cs="仿宋_GB2312"/>
                <w:color w:val="000000"/>
                <w:sz w:val="24"/>
                <w:szCs w:val="24"/>
                <w:shd w:val="clear" w:color="auto" w:fill="FFFFFF"/>
              </w:rPr>
              <w:t>km</w:t>
            </w:r>
            <w:r>
              <w:rPr>
                <w:rFonts w:hint="eastAsia" w:ascii="仿宋_GB2312" w:hAnsi="仿宋_GB2312" w:cs="仿宋_GB2312"/>
                <w:color w:val="000000"/>
                <w:sz w:val="24"/>
                <w:szCs w:val="24"/>
                <w:shd w:val="clear" w:color="auto" w:fill="FFFFFF"/>
                <w:vertAlign w:val="superscript"/>
              </w:rPr>
              <w:t>2</w:t>
            </w:r>
            <w:r>
              <w:rPr>
                <w:rFonts w:hint="eastAsia" w:ascii="仿宋_GB2312" w:hAnsi="仿宋_GB2312" w:cs="仿宋_GB2312"/>
                <w:color w:val="000000"/>
                <w:sz w:val="24"/>
                <w:szCs w:val="24"/>
                <w:shd w:val="clear" w:color="auto" w:fill="FFFFFF"/>
              </w:rPr>
              <w:t>，占国土空间面积的</w:t>
            </w:r>
            <w:r>
              <w:rPr>
                <w:rFonts w:hint="eastAsia" w:ascii="仿宋_GB2312" w:hAnsi="仿宋"/>
                <w:sz w:val="24"/>
                <w:szCs w:val="24"/>
              </w:rPr>
              <w:t>24.36</w:t>
            </w:r>
            <w:r>
              <w:rPr>
                <w:rFonts w:hint="eastAsia" w:ascii="仿宋_GB2312" w:hAnsi="仿宋_GB2312" w:cs="仿宋_GB2312"/>
                <w:color w:val="000000"/>
                <w:sz w:val="24"/>
                <w:szCs w:val="24"/>
                <w:shd w:val="clear" w:color="auto" w:fill="FFFFFF"/>
              </w:rPr>
              <w:t xml:space="preserve"> %</w:t>
            </w:r>
            <w:r>
              <w:rPr>
                <w:rFonts w:hint="eastAsia" w:ascii="仿宋_GB2312" w:hAnsi="仿宋_GB2312" w:cs="仿宋_GB2312"/>
                <w:color w:val="000000"/>
                <w:sz w:val="24"/>
                <w:szCs w:val="24"/>
                <w:shd w:val="clear" w:color="auto" w:fill="FFFFFF"/>
                <w:lang w:eastAsia="zh-CN"/>
              </w:rPr>
              <w:t>。</w:t>
            </w:r>
          </w:p>
          <w:p>
            <w:pPr>
              <w:pStyle w:val="10"/>
              <w:spacing w:line="400" w:lineRule="exact"/>
              <w:ind w:firstLine="482"/>
              <w:jc w:val="both"/>
              <w:rPr>
                <w:rFonts w:hint="eastAsia" w:ascii="仿宋_GB2312" w:hAnsi="仿宋" w:eastAsia="仿宋_GB2312"/>
                <w:sz w:val="24"/>
                <w:szCs w:val="24"/>
                <w:lang w:eastAsia="zh-CN"/>
              </w:rPr>
            </w:pPr>
            <w:r>
              <w:rPr>
                <w:rFonts w:hint="eastAsia" w:ascii="楷体" w:hAnsi="楷体" w:eastAsia="楷体" w:cs="楷体"/>
                <w:b/>
                <w:bCs/>
                <w:color w:val="000000"/>
                <w:sz w:val="24"/>
                <w:szCs w:val="24"/>
                <w:shd w:val="clear" w:color="auto" w:fill="FFFFFF"/>
              </w:rPr>
              <w:t>农业空间：</w:t>
            </w:r>
            <w:r>
              <w:rPr>
                <w:rFonts w:hint="eastAsia" w:ascii="仿宋_GB2312" w:hAnsi="仿宋_GB2312" w:cs="仿宋_GB2312"/>
                <w:color w:val="000000"/>
                <w:sz w:val="24"/>
                <w:szCs w:val="24"/>
                <w:shd w:val="clear" w:color="auto" w:fill="FFFFFF"/>
              </w:rPr>
              <w:t>总面积</w:t>
            </w:r>
            <w:r>
              <w:rPr>
                <w:rFonts w:hint="eastAsia" w:ascii="仿宋_GB2312" w:hAnsi="仿宋"/>
                <w:sz w:val="24"/>
                <w:szCs w:val="24"/>
              </w:rPr>
              <w:t>2711.48</w:t>
            </w:r>
            <w:r>
              <w:rPr>
                <w:rFonts w:hint="eastAsia" w:ascii="仿宋_GB2312" w:hAnsi="仿宋_GB2312" w:cs="仿宋_GB2312"/>
                <w:sz w:val="24"/>
                <w:szCs w:val="24"/>
                <w:shd w:val="clear" w:color="auto" w:fill="FFFFFF"/>
              </w:rPr>
              <w:t>km</w:t>
            </w:r>
            <w:r>
              <w:rPr>
                <w:rFonts w:hint="eastAsia" w:ascii="仿宋_GB2312" w:hAnsi="仿宋_GB2312" w:cs="仿宋_GB2312"/>
                <w:sz w:val="24"/>
                <w:szCs w:val="24"/>
                <w:shd w:val="clear" w:color="auto" w:fill="FFFFFF"/>
                <w:vertAlign w:val="superscript"/>
              </w:rPr>
              <w:t>2</w:t>
            </w:r>
            <w:r>
              <w:rPr>
                <w:rFonts w:hint="eastAsia" w:ascii="仿宋_GB2312" w:hAnsi="仿宋_GB2312" w:cs="仿宋_GB2312"/>
                <w:sz w:val="24"/>
                <w:szCs w:val="24"/>
                <w:shd w:val="clear" w:color="auto" w:fill="FFFFFF"/>
              </w:rPr>
              <w:t>，占国土空间面积的</w:t>
            </w:r>
            <w:r>
              <w:rPr>
                <w:rFonts w:hint="eastAsia" w:ascii="仿宋_GB2312" w:hAnsi="仿宋"/>
                <w:sz w:val="24"/>
                <w:szCs w:val="24"/>
              </w:rPr>
              <w:t>36.28</w:t>
            </w:r>
            <w:r>
              <w:rPr>
                <w:rFonts w:hint="eastAsia" w:ascii="仿宋_GB2312" w:hAnsi="仿宋_GB2312" w:cs="仿宋_GB2312"/>
                <w:color w:val="000000"/>
                <w:sz w:val="24"/>
                <w:szCs w:val="24"/>
                <w:shd w:val="clear" w:color="auto" w:fill="FFFFFF"/>
              </w:rPr>
              <w:t>%，形成“</w:t>
            </w:r>
            <w:r>
              <w:rPr>
                <w:rFonts w:hint="eastAsia" w:ascii="仿宋_GB2312" w:hAnsi="仿宋"/>
                <w:b/>
                <w:bCs/>
                <w:sz w:val="24"/>
                <w:szCs w:val="24"/>
              </w:rPr>
              <w:t>三区</w:t>
            </w:r>
            <w:r>
              <w:rPr>
                <w:rFonts w:hint="eastAsia" w:ascii="仿宋_GB2312" w:hAnsi="仿宋"/>
                <w:b/>
                <w:bCs/>
                <w:sz w:val="24"/>
                <w:szCs w:val="24"/>
                <w:lang w:eastAsia="zh-CN"/>
              </w:rPr>
              <w:t>两</w:t>
            </w:r>
            <w:r>
              <w:rPr>
                <w:rFonts w:hint="eastAsia" w:ascii="仿宋_GB2312" w:hAnsi="仿宋"/>
                <w:b/>
                <w:bCs/>
                <w:sz w:val="24"/>
                <w:szCs w:val="24"/>
              </w:rPr>
              <w:t>带</w:t>
            </w:r>
            <w:r>
              <w:rPr>
                <w:rFonts w:hint="eastAsia" w:ascii="仿宋_GB2312" w:hAnsi="仿宋"/>
                <w:b/>
                <w:bCs/>
                <w:sz w:val="24"/>
                <w:szCs w:val="24"/>
                <w:lang w:eastAsia="zh-CN"/>
              </w:rPr>
              <w:t>两中心</w:t>
            </w:r>
            <w:r>
              <w:rPr>
                <w:rFonts w:hint="eastAsia" w:ascii="仿宋_GB2312" w:hAnsi="仿宋_GB2312" w:cs="仿宋_GB2312"/>
                <w:color w:val="000000"/>
                <w:sz w:val="24"/>
                <w:szCs w:val="24"/>
                <w:shd w:val="clear" w:color="auto" w:fill="FFFFFF"/>
              </w:rPr>
              <w:t>”</w:t>
            </w:r>
            <w:r>
              <w:rPr>
                <w:rStyle w:val="37"/>
                <w:rFonts w:hint="eastAsia" w:ascii="仿宋_GB2312" w:hAnsi="仿宋_GB2312" w:cs="仿宋_GB2312"/>
                <w:color w:val="000000"/>
                <w:sz w:val="24"/>
                <w:szCs w:val="24"/>
                <w:shd w:val="clear" w:color="auto" w:fill="FFFFFF"/>
              </w:rPr>
              <w:footnoteReference w:id="17"/>
            </w:r>
            <w:r>
              <w:rPr>
                <w:rFonts w:hint="eastAsia" w:ascii="仿宋_GB2312" w:hAnsi="仿宋_GB2312" w:cs="仿宋_GB2312"/>
                <w:color w:val="000000"/>
                <w:sz w:val="24"/>
                <w:szCs w:val="24"/>
                <w:shd w:val="clear" w:color="auto" w:fill="FFFFFF"/>
              </w:rPr>
              <w:t>的现代农业格局。</w:t>
            </w:r>
            <w:r>
              <w:rPr>
                <w:rFonts w:hint="eastAsia" w:ascii="仿宋_GB2312" w:hAnsi="仿宋"/>
                <w:sz w:val="24"/>
                <w:szCs w:val="24"/>
              </w:rPr>
              <w:t>永久基本农田保护红线:总面积786.66km</w:t>
            </w:r>
            <w:r>
              <w:rPr>
                <w:rFonts w:hint="eastAsia" w:ascii="仿宋_GB2312" w:hAnsi="仿宋"/>
                <w:sz w:val="24"/>
                <w:szCs w:val="24"/>
                <w:vertAlign w:val="superscript"/>
              </w:rPr>
              <w:t>2</w:t>
            </w:r>
            <w:r>
              <w:rPr>
                <w:rFonts w:hint="eastAsia" w:ascii="仿宋_GB2312" w:hAnsi="仿宋"/>
                <w:sz w:val="24"/>
                <w:szCs w:val="24"/>
              </w:rPr>
              <w:t>，占国土面积10.53%</w:t>
            </w:r>
            <w:r>
              <w:rPr>
                <w:rFonts w:hint="eastAsia" w:ascii="仿宋_GB2312" w:hAnsi="仿宋"/>
                <w:sz w:val="24"/>
                <w:szCs w:val="24"/>
                <w:lang w:eastAsia="zh-CN"/>
              </w:rPr>
              <w:t>。</w:t>
            </w:r>
          </w:p>
          <w:p>
            <w:pPr>
              <w:pStyle w:val="10"/>
              <w:spacing w:line="400" w:lineRule="exact"/>
              <w:ind w:firstLine="482"/>
              <w:jc w:val="both"/>
              <w:rPr>
                <w:rFonts w:hint="eastAsia" w:ascii="仿宋_GB2312" w:hAnsi="仿宋" w:eastAsia="仿宋_GB2312"/>
                <w:sz w:val="24"/>
                <w:szCs w:val="24"/>
                <w:lang w:eastAsia="zh-CN"/>
              </w:rPr>
            </w:pPr>
            <w:r>
              <w:rPr>
                <w:rFonts w:hint="eastAsia" w:ascii="楷体" w:hAnsi="楷体" w:eastAsia="楷体" w:cs="楷体"/>
                <w:b/>
                <w:bCs/>
                <w:color w:val="000000"/>
                <w:sz w:val="24"/>
                <w:szCs w:val="24"/>
                <w:shd w:val="clear" w:color="auto" w:fill="FFFFFF"/>
              </w:rPr>
              <w:t>城镇空间:</w:t>
            </w:r>
            <w:r>
              <w:rPr>
                <w:rFonts w:hint="eastAsia" w:ascii="仿宋_GB2312" w:hAnsi="仿宋"/>
                <w:sz w:val="24"/>
                <w:szCs w:val="24"/>
              </w:rPr>
              <w:t>总面积1287.79km</w:t>
            </w:r>
            <w:r>
              <w:rPr>
                <w:rFonts w:hint="eastAsia" w:ascii="仿宋_GB2312" w:hAnsi="仿宋"/>
                <w:sz w:val="24"/>
                <w:szCs w:val="24"/>
                <w:vertAlign w:val="superscript"/>
              </w:rPr>
              <w:t>2</w:t>
            </w:r>
            <w:r>
              <w:rPr>
                <w:rFonts w:hint="eastAsia" w:ascii="仿宋_GB2312" w:hAnsi="仿宋"/>
                <w:sz w:val="24"/>
                <w:szCs w:val="24"/>
              </w:rPr>
              <w:t>，占国土空间面积的17.23%，包括居住、工业、商业、仓储物流等城镇集中建设区、弹性发展区及特殊用途区。城镇开发边界: 2025年划定188.58km</w:t>
            </w:r>
            <w:r>
              <w:rPr>
                <w:rFonts w:hint="eastAsia" w:ascii="仿宋_GB2312" w:hAnsi="仿宋"/>
                <w:sz w:val="24"/>
                <w:szCs w:val="24"/>
                <w:vertAlign w:val="superscript"/>
              </w:rPr>
              <w:t>2</w:t>
            </w:r>
            <w:r>
              <w:rPr>
                <w:rFonts w:hint="eastAsia" w:ascii="仿宋_GB2312" w:hAnsi="仿宋"/>
                <w:sz w:val="24"/>
                <w:szCs w:val="24"/>
              </w:rPr>
              <w:t>，形成“</w:t>
            </w:r>
            <w:r>
              <w:rPr>
                <w:rFonts w:hint="eastAsia" w:ascii="仿宋_GB2312" w:hAnsi="仿宋"/>
                <w:b/>
                <w:bCs/>
                <w:sz w:val="24"/>
                <w:szCs w:val="24"/>
              </w:rPr>
              <w:t>一</w:t>
            </w:r>
            <w:r>
              <w:rPr>
                <w:rFonts w:hint="eastAsia" w:ascii="仿宋_GB2312" w:hAnsi="仿宋"/>
                <w:b/>
                <w:bCs/>
                <w:sz w:val="24"/>
                <w:szCs w:val="24"/>
                <w:lang w:eastAsia="zh-CN"/>
              </w:rPr>
              <w:t>体</w:t>
            </w:r>
            <w:r>
              <w:rPr>
                <w:rFonts w:hint="eastAsia" w:ascii="仿宋_GB2312" w:hAnsi="仿宋"/>
                <w:b/>
                <w:bCs/>
                <w:sz w:val="24"/>
                <w:szCs w:val="24"/>
              </w:rPr>
              <w:t>两翼</w:t>
            </w:r>
            <w:r>
              <w:rPr>
                <w:rFonts w:hint="eastAsia" w:ascii="仿宋_GB2312" w:hAnsi="仿宋"/>
                <w:b/>
                <w:bCs/>
                <w:sz w:val="24"/>
                <w:szCs w:val="24"/>
                <w:lang w:eastAsia="zh-CN"/>
              </w:rPr>
              <w:t>多点</w:t>
            </w:r>
            <w:r>
              <w:rPr>
                <w:rFonts w:hint="eastAsia" w:ascii="仿宋_GB2312" w:hAnsi="仿宋"/>
                <w:b/>
                <w:bCs/>
                <w:sz w:val="24"/>
                <w:szCs w:val="24"/>
              </w:rPr>
              <w:t>、</w:t>
            </w:r>
            <w:r>
              <w:rPr>
                <w:rFonts w:hint="eastAsia" w:ascii="仿宋_GB2312" w:hAnsi="仿宋"/>
                <w:b/>
                <w:bCs/>
                <w:sz w:val="24"/>
                <w:szCs w:val="24"/>
                <w:lang w:eastAsia="zh-CN"/>
              </w:rPr>
              <w:t>一河两川一轴</w:t>
            </w:r>
            <w:r>
              <w:rPr>
                <w:rFonts w:hint="eastAsia" w:ascii="仿宋_GB2312" w:hAnsi="仿宋"/>
                <w:sz w:val="24"/>
                <w:szCs w:val="24"/>
              </w:rPr>
              <w:t>”的城镇空间格局</w:t>
            </w:r>
            <w:r>
              <w:rPr>
                <w:rFonts w:hint="eastAsia" w:ascii="仿宋_GB2312" w:hAnsi="仿宋"/>
                <w:sz w:val="24"/>
                <w:szCs w:val="24"/>
                <w:lang w:eastAsia="zh-CN"/>
              </w:rPr>
              <w:t>。</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cs="Times New Roman"/>
                <w:color w:val="0000FF"/>
                <w:sz w:val="28"/>
                <w:szCs w:val="24"/>
              </w:rPr>
            </w:pPr>
            <w:r>
              <w:rPr>
                <w:rFonts w:hint="eastAsia" w:ascii="楷体" w:hAnsi="楷体" w:eastAsia="楷体" w:cs="楷体"/>
                <w:b/>
                <w:bCs/>
                <w:color w:val="000000"/>
                <w:sz w:val="24"/>
                <w:szCs w:val="24"/>
                <w:shd w:val="clear" w:color="auto" w:fill="FFFFFF"/>
              </w:rPr>
              <w:t>产业</w:t>
            </w:r>
            <w:r>
              <w:rPr>
                <w:rFonts w:hint="eastAsia" w:ascii="楷体" w:hAnsi="楷体" w:eastAsia="楷体" w:cs="楷体"/>
                <w:b/>
                <w:bCs/>
                <w:color w:val="000000"/>
                <w:sz w:val="24"/>
                <w:szCs w:val="24"/>
                <w:shd w:val="clear" w:color="auto" w:fill="FFFFFF"/>
                <w:lang w:eastAsia="zh-CN"/>
              </w:rPr>
              <w:t>空间</w:t>
            </w:r>
            <w:r>
              <w:rPr>
                <w:rFonts w:hint="eastAsia" w:ascii="楷体" w:hAnsi="楷体" w:eastAsia="楷体" w:cs="楷体"/>
                <w:b/>
                <w:bCs/>
                <w:color w:val="000000"/>
                <w:sz w:val="24"/>
                <w:szCs w:val="24"/>
                <w:shd w:val="clear" w:color="auto" w:fill="FFFFFF"/>
              </w:rPr>
              <w:t>:</w:t>
            </w:r>
            <w:r>
              <w:rPr>
                <w:rFonts w:hint="eastAsia" w:ascii="仿宋_GB2312" w:hAnsi="仿宋"/>
                <w:sz w:val="24"/>
                <w:szCs w:val="24"/>
              </w:rPr>
              <w:t>形成“</w:t>
            </w:r>
            <w:r>
              <w:rPr>
                <w:rFonts w:hint="eastAsia" w:ascii="仿宋_GB2312" w:hAnsi="仿宋"/>
                <w:b/>
                <w:bCs/>
                <w:sz w:val="24"/>
                <w:szCs w:val="24"/>
                <w:lang w:eastAsia="zh-CN"/>
              </w:rPr>
              <w:t>三区六园</w:t>
            </w:r>
            <w:r>
              <w:rPr>
                <w:rFonts w:hint="eastAsia" w:ascii="仿宋_GB2312" w:hAnsi="仿宋"/>
                <w:b/>
                <w:bCs/>
                <w:sz w:val="24"/>
                <w:szCs w:val="24"/>
              </w:rPr>
              <w:t>、</w:t>
            </w:r>
            <w:r>
              <w:rPr>
                <w:rFonts w:hint="eastAsia" w:ascii="仿宋_GB2312" w:hAnsi="仿宋"/>
                <w:b/>
                <w:bCs/>
                <w:sz w:val="24"/>
                <w:szCs w:val="24"/>
                <w:lang w:eastAsia="zh-CN"/>
              </w:rPr>
              <w:t>两带一廊</w:t>
            </w:r>
            <w:r>
              <w:rPr>
                <w:rFonts w:hint="eastAsia" w:ascii="仿宋_GB2312" w:hAnsi="仿宋"/>
                <w:sz w:val="24"/>
                <w:szCs w:val="24"/>
              </w:rPr>
              <w:t>”</w:t>
            </w:r>
            <w:r>
              <w:rPr>
                <w:rStyle w:val="37"/>
                <w:rFonts w:hint="eastAsia" w:ascii="仿宋_GB2312" w:hAnsi="仿宋"/>
                <w:sz w:val="24"/>
                <w:szCs w:val="24"/>
              </w:rPr>
              <w:footnoteReference w:id="18"/>
            </w:r>
            <w:r>
              <w:rPr>
                <w:rFonts w:hint="eastAsia" w:ascii="仿宋_GB2312" w:hAnsi="仿宋"/>
                <w:sz w:val="24"/>
                <w:szCs w:val="24"/>
              </w:rPr>
              <w:t>的产业发展格局，2025年划定112.78 km</w:t>
            </w:r>
            <w:r>
              <w:rPr>
                <w:rFonts w:hint="eastAsia" w:ascii="仿宋_GB2312" w:hAnsi="仿宋"/>
                <w:sz w:val="24"/>
                <w:szCs w:val="24"/>
                <w:vertAlign w:val="superscript"/>
              </w:rPr>
              <w:t>2</w:t>
            </w:r>
            <w:r>
              <w:rPr>
                <w:rFonts w:hint="eastAsia" w:ascii="仿宋_GB2312" w:hAnsi="仿宋"/>
                <w:sz w:val="24"/>
                <w:szCs w:val="24"/>
              </w:rPr>
              <w:t>。</w:t>
            </w:r>
          </w:p>
        </w:tc>
      </w:tr>
    </w:tbl>
    <w:p>
      <w:pPr>
        <w:pStyle w:val="44"/>
        <w:adjustRightInd/>
        <w:snapToGrid/>
        <w:spacing w:before="156" w:beforeLines="50" w:after="156" w:afterLines="50"/>
        <w:ind w:firstLine="0" w:firstLineChars="0"/>
        <w:jc w:val="center"/>
        <w:outlineLvl w:val="1"/>
        <w:rPr>
          <w:rFonts w:hint="default" w:ascii="楷体_GB2312" w:hAnsi="楷体_GB2312" w:eastAsia="楷体_GB2312" w:cs="楷体_GB2312"/>
          <w:bCs/>
          <w:sz w:val="32"/>
          <w:szCs w:val="32"/>
          <w:lang w:val="en-US" w:eastAsia="zh-CN"/>
        </w:rPr>
      </w:pPr>
      <w:bookmarkStart w:id="62" w:name="_Toc2774"/>
      <w:bookmarkStart w:id="63" w:name="_Toc21757"/>
      <w:r>
        <w:rPr>
          <w:rFonts w:hint="eastAsia" w:ascii="楷体_GB2312" w:hAnsi="楷体_GB2312" w:eastAsia="楷体_GB2312" w:cs="楷体_GB2312"/>
          <w:bCs/>
          <w:sz w:val="32"/>
          <w:szCs w:val="32"/>
        </w:rPr>
        <w:t xml:space="preserve">第二节 </w:t>
      </w:r>
      <w:bookmarkEnd w:id="62"/>
      <w:r>
        <w:rPr>
          <w:rFonts w:hint="eastAsia" w:ascii="楷体_GB2312" w:hAnsi="楷体_GB2312" w:eastAsia="楷体_GB2312" w:cs="楷体_GB2312"/>
          <w:bCs/>
          <w:sz w:val="32"/>
          <w:szCs w:val="32"/>
          <w:lang w:val="en-US" w:eastAsia="zh-CN"/>
        </w:rPr>
        <w:t>强化区域协作</w:t>
      </w:r>
      <w:bookmarkEnd w:id="63"/>
    </w:p>
    <w:p>
      <w:pPr>
        <w:pStyle w:val="10"/>
        <w:keepNext w:val="0"/>
        <w:keepLines w:val="0"/>
        <w:pageBreakBefore w:val="0"/>
        <w:widowControl w:val="0"/>
        <w:kinsoku/>
        <w:wordWrap/>
        <w:overflowPunct/>
        <w:topLinePunct w:val="0"/>
        <w:autoSpaceDE/>
        <w:autoSpaceDN/>
        <w:bidi w:val="0"/>
        <w:adjustRightInd w:val="0"/>
        <w:snapToGrid w:val="0"/>
        <w:spacing w:line="600" w:lineRule="exact"/>
        <w:ind w:firstLine="640"/>
        <w:jc w:val="both"/>
        <w:textAlignment w:val="auto"/>
        <w:rPr>
          <w:rFonts w:hint="default" w:eastAsia="仿宋_GB2312" w:cs="Times New Roman"/>
          <w:color w:val="0000FF"/>
          <w:sz w:val="32"/>
          <w:szCs w:val="32"/>
          <w:shd w:val="clear" w:color="auto" w:fill="FFFFFF"/>
          <w:lang w:val="en-US" w:eastAsia="zh-CN"/>
        </w:rPr>
      </w:pPr>
      <w:bookmarkStart w:id="64" w:name="_Toc6597"/>
      <w:r>
        <w:rPr>
          <w:rFonts w:hint="eastAsia" w:ascii="Times New Roman" w:hAnsi="Times New Roman" w:cs="Times New Roman"/>
          <w:sz w:val="32"/>
          <w:szCs w:val="32"/>
          <w:lang w:eastAsia="zh-CN"/>
        </w:rPr>
        <w:t>以贯彻落实黄河流域生态保护和高质量发展战略为统领，加强与</w:t>
      </w:r>
      <w:r>
        <w:rPr>
          <w:rFonts w:hint="eastAsia" w:ascii="Times New Roman" w:hAnsi="Times New Roman" w:cs="Times New Roman"/>
          <w:sz w:val="32"/>
          <w:szCs w:val="32"/>
          <w:lang w:val="en-US" w:eastAsia="zh-CN"/>
        </w:rPr>
        <w:t>呼包鄂榆城市群、</w:t>
      </w:r>
      <w:r>
        <w:rPr>
          <w:rFonts w:hint="eastAsia" w:ascii="Times New Roman" w:hAnsi="Times New Roman" w:cs="Times New Roman"/>
          <w:sz w:val="32"/>
          <w:szCs w:val="32"/>
          <w:lang w:eastAsia="zh-CN"/>
        </w:rPr>
        <w:t>陕晋蒙等周边地区的协作发展，协同推进冯红运煤支线铁路、红碱淖湿地保护、沿黄旅游、蒙陕大乌经济协作示范等重大事项合作，构建优势互补、基础设施衔接协同发展新格局。</w:t>
      </w:r>
      <w:r>
        <w:rPr>
          <w:rFonts w:hint="eastAsia" w:ascii="Times New Roman" w:hAnsi="Times New Roman" w:cs="Times New Roman"/>
          <w:sz w:val="32"/>
          <w:szCs w:val="32"/>
          <w:lang w:val="en-US" w:eastAsia="zh-CN"/>
        </w:rPr>
        <w:t>积极融入榆林大都市圈</w:t>
      </w:r>
      <w:r>
        <w:rPr>
          <w:rFonts w:hint="eastAsia" w:cs="Times New Roman"/>
          <w:b/>
          <w:bCs/>
          <w:sz w:val="32"/>
          <w:szCs w:val="32"/>
          <w:shd w:val="clear" w:color="auto" w:fill="FFFFFF"/>
          <w:lang w:val="en-US" w:eastAsia="zh-CN"/>
        </w:rPr>
        <w:t>，</w:t>
      </w:r>
      <w:r>
        <w:rPr>
          <w:rFonts w:hint="eastAsia" w:cs="Times New Roman"/>
          <w:sz w:val="32"/>
          <w:szCs w:val="32"/>
          <w:shd w:val="clear" w:color="auto" w:fill="FFFFFF"/>
          <w:lang w:val="en-US" w:eastAsia="zh-CN"/>
        </w:rPr>
        <w:t>建成榆神府城际铁路，推进榆神一体化发展。高水平编制大保当小城镇发展规划，不断提升人口集聚能力和承载能力。</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65" w:name="_Toc4357"/>
      <w:r>
        <w:rPr>
          <w:rFonts w:hint="eastAsia" w:ascii="楷体_GB2312" w:hAnsi="楷体_GB2312" w:eastAsia="楷体_GB2312" w:cs="楷体_GB2312"/>
          <w:bCs/>
          <w:sz w:val="32"/>
          <w:szCs w:val="32"/>
        </w:rPr>
        <w:t>第三节 实施城市更新行动</w:t>
      </w:r>
      <w:bookmarkEnd w:id="64"/>
      <w:bookmarkEnd w:id="65"/>
    </w:p>
    <w:p>
      <w:pPr>
        <w:pStyle w:val="10"/>
        <w:ind w:firstLine="640"/>
        <w:jc w:val="both"/>
        <w:rPr>
          <w:rFonts w:cs="Times New Roman"/>
          <w:sz w:val="32"/>
          <w:szCs w:val="32"/>
          <w:shd w:val="clear" w:color="auto" w:fill="FFFFFF"/>
        </w:rPr>
      </w:pPr>
      <w:r>
        <w:rPr>
          <w:rFonts w:cs="Times New Roman"/>
          <w:sz w:val="32"/>
          <w:szCs w:val="32"/>
          <w:shd w:val="clear" w:color="auto" w:fill="FFFFFF"/>
        </w:rPr>
        <w:t>按照古城传承文脉、老城提升品质、新区彰显现代的思路，构筑“一轴三区六组团”</w:t>
      </w:r>
      <w:r>
        <w:rPr>
          <w:rStyle w:val="37"/>
          <w:rFonts w:cs="Times New Roman"/>
          <w:sz w:val="32"/>
          <w:szCs w:val="32"/>
          <w:shd w:val="clear" w:color="auto" w:fill="FFFFFF"/>
        </w:rPr>
        <w:footnoteReference w:id="19"/>
      </w:r>
      <w:r>
        <w:rPr>
          <w:rFonts w:cs="Times New Roman"/>
          <w:sz w:val="32"/>
          <w:szCs w:val="32"/>
          <w:shd w:val="clear" w:color="auto" w:fill="FFFFFF"/>
        </w:rPr>
        <w:t>的空间大格局，打造历史人文与时代特征交相辉映的宜居宜业宜游城市。</w:t>
      </w:r>
    </w:p>
    <w:p>
      <w:pPr>
        <w:pStyle w:val="10"/>
        <w:ind w:firstLine="640"/>
        <w:jc w:val="both"/>
        <w:rPr>
          <w:rFonts w:cs="Times New Roman"/>
          <w:sz w:val="32"/>
          <w:szCs w:val="32"/>
          <w:shd w:val="clear" w:color="auto" w:fill="FFFFFF"/>
        </w:rPr>
      </w:pPr>
      <w:r>
        <w:rPr>
          <w:rFonts w:cs="Times New Roman"/>
          <w:b/>
          <w:bCs/>
          <w:sz w:val="32"/>
          <w:szCs w:val="32"/>
          <w:shd w:val="clear" w:color="auto" w:fill="FFFFFF"/>
        </w:rPr>
        <w:t>完善</w:t>
      </w:r>
      <w:r>
        <w:rPr>
          <w:rFonts w:hint="eastAsia" w:cs="Times New Roman"/>
          <w:b/>
          <w:bCs/>
          <w:sz w:val="32"/>
          <w:szCs w:val="32"/>
          <w:shd w:val="clear" w:color="auto" w:fill="FFFFFF"/>
        </w:rPr>
        <w:t>城市</w:t>
      </w:r>
      <w:r>
        <w:rPr>
          <w:rFonts w:cs="Times New Roman"/>
          <w:b/>
          <w:bCs/>
          <w:sz w:val="32"/>
          <w:szCs w:val="32"/>
          <w:shd w:val="clear" w:color="auto" w:fill="FFFFFF"/>
        </w:rPr>
        <w:t>基础设施。</w:t>
      </w:r>
      <w:r>
        <w:rPr>
          <w:rFonts w:hint="eastAsia" w:ascii="Times New Roman" w:hAnsi="Times New Roman" w:cs="Times New Roman"/>
          <w:sz w:val="32"/>
          <w:szCs w:val="32"/>
          <w:shd w:val="clear" w:color="auto" w:fill="FFFFFF"/>
          <w:lang w:val="en-US" w:eastAsia="zh-CN"/>
        </w:rPr>
        <w:t>均衡布局城市公共服务基础设施，持续提升城市组团集聚人口能力。</w:t>
      </w:r>
      <w:r>
        <w:rPr>
          <w:rFonts w:cs="Times New Roman"/>
          <w:bCs/>
          <w:color w:val="000000"/>
          <w:sz w:val="32"/>
          <w:szCs w:val="32"/>
        </w:rPr>
        <w:t>畅通城市交通</w:t>
      </w:r>
      <w:r>
        <w:rPr>
          <w:rFonts w:cs="Times New Roman"/>
          <w:sz w:val="32"/>
          <w:szCs w:val="32"/>
          <w:shd w:val="clear" w:color="auto" w:fill="FFFFFF"/>
        </w:rPr>
        <w:t>，加快建设和完善城市路网，加大打通横向断头路力度，</w:t>
      </w:r>
      <w:r>
        <w:rPr>
          <w:rFonts w:cs="Times New Roman"/>
          <w:bCs/>
          <w:color w:val="000000"/>
          <w:sz w:val="32"/>
          <w:szCs w:val="32"/>
        </w:rPr>
        <w:t>新建五龙口</w:t>
      </w:r>
      <w:r>
        <w:rPr>
          <w:rFonts w:hint="eastAsia" w:cs="Times New Roman"/>
          <w:bCs/>
          <w:color w:val="000000"/>
          <w:sz w:val="32"/>
          <w:szCs w:val="32"/>
        </w:rPr>
        <w:t>立交</w:t>
      </w:r>
      <w:r>
        <w:rPr>
          <w:rFonts w:cs="Times New Roman"/>
          <w:bCs/>
          <w:color w:val="000000"/>
          <w:sz w:val="32"/>
          <w:szCs w:val="32"/>
        </w:rPr>
        <w:t>和铧山大桥</w:t>
      </w:r>
      <w:r>
        <w:rPr>
          <w:rFonts w:hint="eastAsia" w:cs="Times New Roman"/>
          <w:bCs/>
          <w:color w:val="000000"/>
          <w:sz w:val="32"/>
          <w:szCs w:val="32"/>
        </w:rPr>
        <w:t>等立体式交通</w:t>
      </w:r>
      <w:r>
        <w:rPr>
          <w:rFonts w:cs="Times New Roman"/>
          <w:bCs/>
          <w:color w:val="000000"/>
          <w:sz w:val="32"/>
          <w:szCs w:val="32"/>
        </w:rPr>
        <w:t>，</w:t>
      </w:r>
      <w:r>
        <w:rPr>
          <w:rFonts w:cs="Times New Roman"/>
          <w:sz w:val="32"/>
          <w:szCs w:val="32"/>
          <w:shd w:val="clear" w:color="auto" w:fill="FFFFFF"/>
        </w:rPr>
        <w:t>打造内畅外达交通</w:t>
      </w:r>
      <w:r>
        <w:rPr>
          <w:rFonts w:hint="eastAsia" w:cs="Times New Roman"/>
          <w:sz w:val="32"/>
          <w:szCs w:val="32"/>
          <w:shd w:val="clear" w:color="auto" w:fill="FFFFFF"/>
        </w:rPr>
        <w:t>路网</w:t>
      </w:r>
      <w:r>
        <w:rPr>
          <w:rFonts w:cs="Times New Roman"/>
          <w:bCs/>
          <w:color w:val="000000"/>
          <w:sz w:val="32"/>
          <w:szCs w:val="32"/>
        </w:rPr>
        <w:t>。实施城市“双修”，</w:t>
      </w:r>
      <w:r>
        <w:rPr>
          <w:rFonts w:cs="Times New Roman"/>
          <w:sz w:val="32"/>
          <w:szCs w:val="32"/>
          <w:shd w:val="clear" w:color="auto" w:fill="FFFFFF"/>
        </w:rPr>
        <w:t>统筹城市综合管廊与人防生命工程</w:t>
      </w:r>
      <w:r>
        <w:rPr>
          <w:rFonts w:hint="eastAsia" w:cs="Times New Roman"/>
          <w:sz w:val="32"/>
          <w:szCs w:val="32"/>
          <w:shd w:val="clear" w:color="auto" w:fill="FFFFFF"/>
        </w:rPr>
        <w:t>，</w:t>
      </w:r>
      <w:r>
        <w:rPr>
          <w:rFonts w:cs="Times New Roman"/>
          <w:sz w:val="32"/>
          <w:szCs w:val="32"/>
          <w:shd w:val="clear" w:color="auto" w:fill="FFFFFF"/>
        </w:rPr>
        <w:t>一次布局水、电、气、热、污等</w:t>
      </w:r>
      <w:r>
        <w:rPr>
          <w:rFonts w:hint="eastAsia" w:cs="Times New Roman"/>
          <w:sz w:val="32"/>
          <w:szCs w:val="32"/>
          <w:shd w:val="clear" w:color="auto" w:fill="FFFFFF"/>
        </w:rPr>
        <w:t>城市</w:t>
      </w:r>
      <w:r>
        <w:rPr>
          <w:rFonts w:cs="Times New Roman"/>
          <w:sz w:val="32"/>
          <w:szCs w:val="32"/>
          <w:shd w:val="clear" w:color="auto" w:fill="FFFFFF"/>
        </w:rPr>
        <w:t>管网</w:t>
      </w:r>
      <w:r>
        <w:rPr>
          <w:rFonts w:hint="eastAsia" w:cs="Times New Roman"/>
          <w:sz w:val="32"/>
          <w:szCs w:val="32"/>
          <w:shd w:val="clear" w:color="auto" w:fill="FFFFFF"/>
        </w:rPr>
        <w:t>，</w:t>
      </w:r>
      <w:r>
        <w:rPr>
          <w:rFonts w:cs="Times New Roman"/>
          <w:sz w:val="32"/>
          <w:szCs w:val="32"/>
          <w:shd w:val="clear" w:color="auto" w:fill="FFFFFF"/>
        </w:rPr>
        <w:t>新建燃气中压主干网400公里</w:t>
      </w:r>
      <w:r>
        <w:rPr>
          <w:rFonts w:hint="eastAsia" w:cs="Times New Roman"/>
          <w:sz w:val="32"/>
          <w:szCs w:val="32"/>
          <w:shd w:val="clear" w:color="auto" w:fill="FFFFFF"/>
        </w:rPr>
        <w:t>，延伸供热管网接入区域，建设</w:t>
      </w:r>
      <w:r>
        <w:rPr>
          <w:rFonts w:cs="Times New Roman"/>
          <w:sz w:val="32"/>
          <w:szCs w:val="32"/>
          <w:shd w:val="clear" w:color="auto" w:fill="FFFFFF"/>
        </w:rPr>
        <w:t>智慧城市</w:t>
      </w:r>
      <w:r>
        <w:rPr>
          <w:rFonts w:hint="eastAsia" w:cs="Times New Roman"/>
          <w:sz w:val="32"/>
          <w:szCs w:val="32"/>
          <w:shd w:val="clear" w:color="auto" w:fill="FFFFFF"/>
        </w:rPr>
        <w:t>、</w:t>
      </w:r>
      <w:r>
        <w:rPr>
          <w:rFonts w:cs="Times New Roman"/>
          <w:sz w:val="32"/>
          <w:szCs w:val="32"/>
        </w:rPr>
        <w:t>海绵城市、韧性城市。</w:t>
      </w:r>
      <w:r>
        <w:rPr>
          <w:rFonts w:cs="Times New Roman"/>
          <w:sz w:val="32"/>
          <w:szCs w:val="32"/>
          <w:shd w:val="clear" w:color="auto" w:fill="FFFFFF"/>
        </w:rPr>
        <w:t>完善垃圾、污水无害化处理设施，提高管网收集和集中处理能力，实现垃圾、污水全收集、全处理、全达标。</w:t>
      </w:r>
      <w:r>
        <w:rPr>
          <w:rFonts w:hint="eastAsia" w:cs="Times New Roman"/>
          <w:sz w:val="32"/>
          <w:szCs w:val="32"/>
          <w:shd w:val="clear" w:color="auto" w:fill="FFFFFF"/>
          <w:lang w:val="en-US" w:eastAsia="zh-CN"/>
        </w:rPr>
        <w:t>持续推进城市、园区、镇街垃圾分类和雨污分流建设，到2025年，生活垃圾回收利用率达到35%以上，中水回用率达到60%以上。</w:t>
      </w:r>
    </w:p>
    <w:p>
      <w:pPr>
        <w:pStyle w:val="10"/>
        <w:ind w:firstLine="640"/>
        <w:jc w:val="both"/>
        <w:rPr>
          <w:rFonts w:hint="default" w:cs="Times New Roman"/>
          <w:color w:val="0000FF"/>
          <w:sz w:val="32"/>
          <w:szCs w:val="32"/>
          <w:shd w:val="clear" w:color="auto" w:fill="FFFFFF"/>
          <w:lang w:val="en-US"/>
        </w:rPr>
      </w:pPr>
      <w:r>
        <w:rPr>
          <w:rFonts w:hint="eastAsia" w:cs="Times New Roman"/>
          <w:b/>
          <w:bCs/>
          <w:sz w:val="32"/>
          <w:szCs w:val="32"/>
          <w:shd w:val="clear" w:color="auto" w:fill="FFFFFF"/>
        </w:rPr>
        <w:t>推进</w:t>
      </w:r>
      <w:r>
        <w:rPr>
          <w:rFonts w:cs="Times New Roman"/>
          <w:b/>
          <w:bCs/>
          <w:sz w:val="32"/>
          <w:szCs w:val="32"/>
          <w:shd w:val="clear" w:color="auto" w:fill="FFFFFF"/>
        </w:rPr>
        <w:t>城市精细化管理。</w:t>
      </w:r>
      <w:r>
        <w:rPr>
          <w:rFonts w:cs="Times New Roman"/>
          <w:sz w:val="32"/>
          <w:szCs w:val="32"/>
        </w:rPr>
        <w:t>深化城市管理体制改革，推动城市管理共建共治共享</w:t>
      </w:r>
      <w:r>
        <w:rPr>
          <w:rFonts w:hint="eastAsia" w:cs="Times New Roman"/>
          <w:sz w:val="32"/>
          <w:szCs w:val="32"/>
          <w:lang w:eastAsia="zh-CN"/>
        </w:rPr>
        <w:t>，</w:t>
      </w:r>
      <w:r>
        <w:rPr>
          <w:rFonts w:hint="eastAsia" w:cs="Times New Roman"/>
          <w:sz w:val="32"/>
          <w:szCs w:val="32"/>
          <w:lang w:val="en-US" w:eastAsia="zh-CN"/>
        </w:rPr>
        <w:t>加快城市管理执法重心向街道办和经开区下移</w:t>
      </w:r>
      <w:r>
        <w:rPr>
          <w:rFonts w:cs="Times New Roman"/>
          <w:sz w:val="32"/>
          <w:szCs w:val="32"/>
        </w:rPr>
        <w:t>。提升城区立体化、专业化和智能化管理水平，</w:t>
      </w:r>
      <w:r>
        <w:rPr>
          <w:rFonts w:hint="eastAsia" w:cs="Times New Roman"/>
          <w:sz w:val="32"/>
          <w:szCs w:val="32"/>
        </w:rPr>
        <w:t>加快</w:t>
      </w:r>
      <w:r>
        <w:rPr>
          <w:rFonts w:cs="Times New Roman"/>
          <w:sz w:val="32"/>
          <w:szCs w:val="32"/>
        </w:rPr>
        <w:t>建设智慧市政、</w:t>
      </w:r>
      <w:r>
        <w:rPr>
          <w:rFonts w:cs="Times New Roman"/>
          <w:sz w:val="32"/>
          <w:szCs w:val="32"/>
          <w:shd w:val="clear" w:color="auto" w:fill="FFFFFF"/>
        </w:rPr>
        <w:t>智慧</w:t>
      </w:r>
      <w:r>
        <w:rPr>
          <w:rFonts w:hint="eastAsia" w:cs="Times New Roman"/>
          <w:sz w:val="32"/>
          <w:szCs w:val="32"/>
          <w:shd w:val="clear" w:color="auto" w:fill="FFFFFF"/>
        </w:rPr>
        <w:t>城管</w:t>
      </w:r>
      <w:r>
        <w:rPr>
          <w:rFonts w:cs="Times New Roman"/>
          <w:sz w:val="32"/>
          <w:szCs w:val="32"/>
          <w:shd w:val="clear" w:color="auto" w:fill="FFFFFF"/>
        </w:rPr>
        <w:t>、智慧社区等</w:t>
      </w:r>
      <w:r>
        <w:rPr>
          <w:rFonts w:cs="Times New Roman"/>
          <w:sz w:val="32"/>
          <w:szCs w:val="32"/>
        </w:rPr>
        <w:t>数字化</w:t>
      </w:r>
      <w:r>
        <w:rPr>
          <w:rFonts w:hint="eastAsia" w:cs="Times New Roman"/>
          <w:sz w:val="32"/>
          <w:szCs w:val="32"/>
        </w:rPr>
        <w:t>管理</w:t>
      </w:r>
      <w:r>
        <w:rPr>
          <w:rFonts w:cs="Times New Roman"/>
          <w:sz w:val="32"/>
          <w:szCs w:val="32"/>
        </w:rPr>
        <w:t>平台。加强道路交通秩序</w:t>
      </w:r>
      <w:r>
        <w:rPr>
          <w:rFonts w:hint="eastAsia" w:cs="Times New Roman"/>
          <w:sz w:val="32"/>
          <w:szCs w:val="32"/>
        </w:rPr>
        <w:t>管控</w:t>
      </w:r>
      <w:r>
        <w:rPr>
          <w:rFonts w:cs="Times New Roman"/>
          <w:sz w:val="32"/>
          <w:szCs w:val="32"/>
        </w:rPr>
        <w:t>，完善停车场配建，构建城市智慧停车体系，</w:t>
      </w:r>
      <w:r>
        <w:rPr>
          <w:rFonts w:cs="Times New Roman"/>
          <w:sz w:val="32"/>
          <w:szCs w:val="32"/>
          <w:shd w:val="clear" w:color="auto" w:fill="FFFFFF"/>
        </w:rPr>
        <w:t>市区规划控制公共停车场总点位40个，公共停车泊位5000个</w:t>
      </w:r>
      <w:r>
        <w:rPr>
          <w:rFonts w:hint="eastAsia" w:cs="Times New Roman"/>
          <w:sz w:val="32"/>
          <w:szCs w:val="32"/>
          <w:shd w:val="clear" w:color="auto" w:fill="FFFFFF"/>
          <w:lang w:eastAsia="zh-CN"/>
        </w:rPr>
        <w:t>，着力解决城区停车难问题</w:t>
      </w:r>
      <w:r>
        <w:rPr>
          <w:rFonts w:cs="Times New Roman"/>
          <w:sz w:val="32"/>
          <w:szCs w:val="32"/>
          <w:shd w:val="clear" w:color="auto" w:fill="FFFFFF"/>
        </w:rPr>
        <w:t>。</w:t>
      </w:r>
      <w:r>
        <w:rPr>
          <w:rFonts w:cs="Times New Roman"/>
          <w:sz w:val="32"/>
          <w:szCs w:val="32"/>
        </w:rPr>
        <w:t>全面推行</w:t>
      </w:r>
      <w:r>
        <w:rPr>
          <w:rFonts w:cs="Times New Roman"/>
          <w:sz w:val="32"/>
          <w:szCs w:val="32"/>
          <w:shd w:val="clear" w:color="auto" w:fill="FFFFFF"/>
        </w:rPr>
        <w:t>社区网格化服务管理，提升住宅物业管理水平，提高居住环境品质。</w:t>
      </w:r>
    </w:p>
    <w:p>
      <w:pPr>
        <w:pStyle w:val="10"/>
        <w:ind w:firstLine="640"/>
        <w:jc w:val="both"/>
        <w:rPr>
          <w:rFonts w:cs="Times New Roman"/>
          <w:sz w:val="32"/>
          <w:szCs w:val="32"/>
          <w:shd w:val="clear" w:color="auto" w:fill="FFFFFF"/>
        </w:rPr>
      </w:pPr>
      <w:r>
        <w:rPr>
          <w:rFonts w:cs="Times New Roman"/>
          <w:b/>
          <w:bCs/>
          <w:sz w:val="32"/>
          <w:szCs w:val="32"/>
          <w:shd w:val="clear" w:color="auto" w:fill="FFFFFF"/>
        </w:rPr>
        <w:t>塑造高品质城市空间。</w:t>
      </w:r>
      <w:r>
        <w:rPr>
          <w:rFonts w:cs="Times New Roman"/>
          <w:sz w:val="32"/>
          <w:szCs w:val="32"/>
        </w:rPr>
        <w:t>完善</w:t>
      </w:r>
      <w:r>
        <w:rPr>
          <w:rFonts w:hint="eastAsia" w:cs="Times New Roman"/>
          <w:sz w:val="32"/>
          <w:szCs w:val="32"/>
          <w:lang w:val="en-US" w:eastAsia="zh-CN"/>
        </w:rPr>
        <w:t>城市</w:t>
      </w:r>
      <w:r>
        <w:rPr>
          <w:rFonts w:cs="Times New Roman"/>
          <w:sz w:val="32"/>
          <w:szCs w:val="32"/>
        </w:rPr>
        <w:t>综合服务功能，发展科技孵化、总部经济、现代商务，建设精致舒适、</w:t>
      </w:r>
      <w:r>
        <w:rPr>
          <w:rFonts w:hint="eastAsia" w:cs="Times New Roman"/>
          <w:sz w:val="32"/>
          <w:szCs w:val="32"/>
          <w:lang w:val="en-US" w:eastAsia="zh-CN"/>
        </w:rPr>
        <w:t>宜居宜业的幸福城市</w:t>
      </w:r>
      <w:r>
        <w:rPr>
          <w:rFonts w:cs="Times New Roman"/>
          <w:sz w:val="32"/>
          <w:szCs w:val="32"/>
        </w:rPr>
        <w:t>。</w:t>
      </w:r>
      <w:r>
        <w:rPr>
          <w:rFonts w:hint="eastAsia" w:ascii="Times New Roman" w:hAnsi="Times New Roman" w:cs="Times New Roman"/>
          <w:sz w:val="32"/>
          <w:szCs w:val="32"/>
          <w:shd w:val="clear" w:color="auto" w:fill="FFFFFF"/>
          <w:lang w:val="en-US" w:eastAsia="zh-CN"/>
        </w:rPr>
        <w:t>提升宜游水平，</w:t>
      </w:r>
      <w:r>
        <w:rPr>
          <w:rFonts w:ascii="Times New Roman" w:hAnsi="Times New Roman" w:cs="Times New Roman"/>
          <w:sz w:val="32"/>
          <w:szCs w:val="32"/>
          <w:shd w:val="clear" w:color="auto" w:fill="FFFFFF"/>
        </w:rPr>
        <w:t>加强</w:t>
      </w:r>
      <w:r>
        <w:rPr>
          <w:rFonts w:cs="Times New Roman"/>
          <w:sz w:val="32"/>
          <w:szCs w:val="32"/>
          <w:shd w:val="clear" w:color="auto" w:fill="FFFFFF"/>
        </w:rPr>
        <w:t>古城保护开发力度，建设杨家城遗址公园，滨河新区创建国家</w:t>
      </w:r>
      <w:r>
        <w:rPr>
          <w:rFonts w:hint="eastAsia" w:cs="Times New Roman"/>
          <w:sz w:val="32"/>
          <w:szCs w:val="32"/>
          <w:shd w:val="clear" w:color="auto" w:fill="FFFFFF"/>
          <w:lang w:val="en-US" w:eastAsia="zh-CN"/>
        </w:rPr>
        <w:t>4</w:t>
      </w:r>
      <w:r>
        <w:rPr>
          <w:rFonts w:hint="eastAsia" w:cs="Times New Roman"/>
          <w:sz w:val="32"/>
          <w:szCs w:val="32"/>
          <w:shd w:val="clear" w:color="auto" w:fill="FFFFFF"/>
        </w:rPr>
        <w:t>A</w:t>
      </w:r>
      <w:r>
        <w:rPr>
          <w:rFonts w:cs="Times New Roman"/>
          <w:sz w:val="32"/>
          <w:szCs w:val="32"/>
          <w:shd w:val="clear" w:color="auto" w:fill="FFFFFF"/>
        </w:rPr>
        <w:t>级城市景区。健全公共文化设施，优化布局“城市书房”，提升城市</w:t>
      </w:r>
      <w:r>
        <w:rPr>
          <w:rFonts w:hint="eastAsia" w:cs="Times New Roman"/>
          <w:sz w:val="32"/>
          <w:szCs w:val="32"/>
          <w:shd w:val="clear" w:color="auto" w:fill="FFFFFF"/>
        </w:rPr>
        <w:t>文化品</w:t>
      </w:r>
      <w:r>
        <w:rPr>
          <w:rFonts w:cs="Times New Roman"/>
          <w:sz w:val="32"/>
          <w:szCs w:val="32"/>
          <w:shd w:val="clear" w:color="auto" w:fill="FFFFFF"/>
        </w:rPr>
        <w:t>质。全面改善城南面貌</w:t>
      </w:r>
      <w:r>
        <w:rPr>
          <w:rFonts w:hint="eastAsia" w:cs="Times New Roman"/>
          <w:sz w:val="32"/>
          <w:szCs w:val="32"/>
          <w:shd w:val="clear" w:color="auto" w:fill="FFFFFF"/>
        </w:rPr>
        <w:t>，</w:t>
      </w:r>
      <w:r>
        <w:rPr>
          <w:rFonts w:cs="Times New Roman"/>
          <w:sz w:val="32"/>
          <w:szCs w:val="32"/>
          <w:shd w:val="clear" w:color="auto" w:fill="FFFFFF"/>
        </w:rPr>
        <w:t>推进城南</w:t>
      </w:r>
      <w:r>
        <w:rPr>
          <w:rFonts w:hint="eastAsia" w:cs="Times New Roman"/>
          <w:sz w:val="32"/>
          <w:szCs w:val="32"/>
          <w:shd w:val="clear" w:color="auto" w:fill="FFFFFF"/>
        </w:rPr>
        <w:t>片区</w:t>
      </w:r>
      <w:r>
        <w:rPr>
          <w:rFonts w:cs="Times New Roman"/>
          <w:sz w:val="32"/>
          <w:szCs w:val="32"/>
          <w:shd w:val="clear" w:color="auto" w:fill="FFFFFF"/>
        </w:rPr>
        <w:t>棚户区</w:t>
      </w:r>
      <w:r>
        <w:rPr>
          <w:rFonts w:hint="eastAsia" w:cs="Times New Roman"/>
          <w:sz w:val="32"/>
          <w:szCs w:val="32"/>
          <w:shd w:val="clear" w:color="auto" w:fill="FFFFFF"/>
        </w:rPr>
        <w:t>、老旧小区和</w:t>
      </w:r>
      <w:r>
        <w:rPr>
          <w:rFonts w:cs="Times New Roman"/>
          <w:sz w:val="32"/>
          <w:szCs w:val="32"/>
          <w:shd w:val="clear" w:color="auto" w:fill="FFFFFF"/>
        </w:rPr>
        <w:t>建成区城中村改造，实施棚户区改造2000套，建设安置房15万平方米。优化</w:t>
      </w:r>
      <w:r>
        <w:rPr>
          <w:rFonts w:hint="eastAsia" w:cs="Times New Roman"/>
          <w:sz w:val="32"/>
          <w:szCs w:val="32"/>
          <w:shd w:val="clear" w:color="auto" w:fill="FFFFFF"/>
        </w:rPr>
        <w:t>城市</w:t>
      </w:r>
      <w:r>
        <w:rPr>
          <w:rFonts w:hint="eastAsia" w:cs="Times New Roman"/>
          <w:sz w:val="32"/>
          <w:szCs w:val="32"/>
          <w:shd w:val="clear" w:color="auto" w:fill="FFFFFF"/>
          <w:lang w:eastAsia="zh-CN"/>
        </w:rPr>
        <w:t>空间</w:t>
      </w:r>
      <w:r>
        <w:rPr>
          <w:rFonts w:cs="Times New Roman"/>
          <w:sz w:val="32"/>
          <w:szCs w:val="32"/>
          <w:shd w:val="clear" w:color="auto" w:fill="FFFFFF"/>
        </w:rPr>
        <w:t>绿化布局，构建慢行绿道系统，鼓励发展屋顶绿化</w:t>
      </w:r>
      <w:r>
        <w:rPr>
          <w:rFonts w:hint="eastAsia" w:cs="Times New Roman"/>
          <w:sz w:val="32"/>
          <w:szCs w:val="32"/>
          <w:shd w:val="clear" w:color="auto" w:fill="FFFFFF"/>
          <w:lang w:eastAsia="zh-CN"/>
        </w:rPr>
        <w:t>美化</w:t>
      </w:r>
      <w:r>
        <w:rPr>
          <w:rFonts w:cs="Times New Roman"/>
          <w:sz w:val="32"/>
          <w:szCs w:val="32"/>
          <w:shd w:val="clear" w:color="auto" w:fill="FFFFFF"/>
        </w:rPr>
        <w:t>、立体绿化，建</w:t>
      </w:r>
      <w:r>
        <w:rPr>
          <w:rFonts w:hint="eastAsia" w:cs="Times New Roman"/>
          <w:sz w:val="32"/>
          <w:szCs w:val="32"/>
          <w:shd w:val="clear" w:color="auto" w:fill="FFFFFF"/>
        </w:rPr>
        <w:t>成</w:t>
      </w:r>
      <w:r>
        <w:rPr>
          <w:rFonts w:hint="eastAsia" w:cs="Times New Roman"/>
          <w:sz w:val="32"/>
          <w:szCs w:val="32"/>
          <w:shd w:val="clear" w:color="auto" w:fill="FFFFFF"/>
          <w:lang w:eastAsia="zh-CN"/>
        </w:rPr>
        <w:t>规划区内</w:t>
      </w:r>
      <w:r>
        <w:rPr>
          <w:rFonts w:cs="Times New Roman"/>
          <w:sz w:val="32"/>
          <w:szCs w:val="32"/>
          <w:shd w:val="clear" w:color="auto" w:fill="FFFFFF"/>
        </w:rPr>
        <w:t>城市中心公园、滨河新区运动公园。到2025年，城区绿地</w:t>
      </w:r>
      <w:r>
        <w:rPr>
          <w:rFonts w:hint="eastAsia" w:cs="Times New Roman"/>
          <w:sz w:val="32"/>
          <w:szCs w:val="32"/>
          <w:shd w:val="clear" w:color="auto" w:fill="FFFFFF"/>
          <w:lang w:eastAsia="zh-CN"/>
        </w:rPr>
        <w:t>覆盖</w:t>
      </w:r>
      <w:r>
        <w:rPr>
          <w:rFonts w:cs="Times New Roman"/>
          <w:sz w:val="32"/>
          <w:szCs w:val="32"/>
          <w:shd w:val="clear" w:color="auto" w:fill="FFFFFF"/>
        </w:rPr>
        <w:t>率达</w:t>
      </w:r>
      <w:r>
        <w:rPr>
          <w:rFonts w:hint="eastAsia" w:cs="Times New Roman"/>
          <w:sz w:val="32"/>
          <w:szCs w:val="32"/>
          <w:shd w:val="clear" w:color="auto" w:fill="FFFFFF"/>
          <w:lang w:val="en-US" w:eastAsia="zh-CN"/>
        </w:rPr>
        <w:t>42</w:t>
      </w:r>
      <w:r>
        <w:rPr>
          <w:rFonts w:cs="Times New Roman"/>
          <w:sz w:val="32"/>
          <w:szCs w:val="32"/>
          <w:shd w:val="clear" w:color="auto" w:fill="FFFFFF"/>
        </w:rPr>
        <w:t>%，城市人均公园绿地面积约25平方米，争创国家生态园林城市。</w:t>
      </w:r>
    </w:p>
    <w:tbl>
      <w:tblPr>
        <w:tblStyle w:val="25"/>
        <w:tblW w:w="0" w:type="auto"/>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8346" w:type="dxa"/>
          </w:tcPr>
          <w:p>
            <w:pPr>
              <w:pStyle w:val="10"/>
              <w:ind w:firstLine="0" w:firstLineChars="0"/>
              <w:jc w:val="both"/>
              <w:rPr>
                <w:rFonts w:cs="Times New Roman"/>
                <w:b/>
                <w:bCs/>
                <w:sz w:val="32"/>
                <w:szCs w:val="32"/>
                <w:shd w:val="clear" w:color="auto" w:fill="FFFFFF"/>
              </w:rPr>
            </w:pPr>
            <w:r>
              <w:rPr>
                <w:rFonts w:hint="eastAsia" w:ascii="黑体" w:hAnsi="黑体" w:eastAsia="黑体" w:cs="黑体"/>
                <w:sz w:val="24"/>
                <w:szCs w:val="24"/>
                <w:lang w:val="en-US" w:eastAsia="zh-CN" w:bidi="ar-SA"/>
              </w:rPr>
              <w:t>专栏13：</w:t>
            </w:r>
            <w:r>
              <w:rPr>
                <w:rFonts w:hint="eastAsia" w:ascii="黑体" w:hAnsi="黑体" w:eastAsia="黑体" w:cs="黑体"/>
                <w:b w:val="0"/>
                <w:bCs w:val="0"/>
                <w:sz w:val="24"/>
                <w:szCs w:val="24"/>
                <w:shd w:val="clear" w:color="auto" w:fill="FFFFFF"/>
              </w:rPr>
              <w:t xml:space="preserve"> </w:t>
            </w:r>
            <w:r>
              <w:rPr>
                <w:rFonts w:hint="eastAsia" w:ascii="仿宋_GB2312" w:hAnsi="仿宋_GB2312" w:eastAsia="仿宋_GB2312" w:cs="仿宋_GB2312"/>
                <w:b w:val="0"/>
                <w:bCs w:val="0"/>
                <w:sz w:val="28"/>
                <w:szCs w:val="28"/>
                <w:shd w:val="clear" w:color="auto" w:fill="FFFFFF"/>
              </w:rPr>
              <w:t xml:space="preserve">  </w:t>
            </w:r>
            <w:r>
              <w:rPr>
                <w:rFonts w:cs="Times New Roman"/>
                <w:sz w:val="32"/>
                <w:szCs w:val="32"/>
                <w:shd w:val="clear" w:color="auto" w:fill="FFFFFF"/>
              </w:rPr>
              <w:t xml:space="preserve">             </w:t>
            </w:r>
            <w:r>
              <w:rPr>
                <w:rFonts w:cs="Times New Roman"/>
                <w:b/>
                <w:bCs/>
                <w:sz w:val="32"/>
                <w:szCs w:val="32"/>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黑体" w:hAnsi="黑体" w:eastAsia="黑体" w:cs="黑体"/>
                <w:b w:val="0"/>
                <w:bCs w:val="0"/>
                <w:sz w:val="28"/>
                <w:szCs w:val="28"/>
                <w:shd w:val="clear" w:color="auto" w:fill="FFFFFF"/>
                <w:lang w:val="en-US" w:eastAsia="zh-CN"/>
              </w:rPr>
            </w:pPr>
            <w:r>
              <w:rPr>
                <w:rFonts w:hint="eastAsia" w:ascii="黑体" w:hAnsi="黑体" w:eastAsia="黑体" w:cs="黑体"/>
                <w:b w:val="0"/>
                <w:bCs w:val="0"/>
                <w:sz w:val="28"/>
                <w:szCs w:val="28"/>
                <w:shd w:val="clear" w:color="auto" w:fill="FFFFFF"/>
              </w:rPr>
              <w:t>城市</w:t>
            </w:r>
            <w:r>
              <w:rPr>
                <w:rFonts w:hint="eastAsia" w:ascii="黑体" w:hAnsi="黑体" w:eastAsia="黑体" w:cs="黑体"/>
                <w:b w:val="0"/>
                <w:bCs w:val="0"/>
                <w:sz w:val="28"/>
                <w:szCs w:val="28"/>
                <w:shd w:val="clear" w:color="auto" w:fill="FFFFFF"/>
                <w:lang w:val="en-US" w:eastAsia="zh-CN"/>
              </w:rPr>
              <w:t>建设五年行动计划</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城市改造：</w:t>
            </w:r>
            <w:r>
              <w:rPr>
                <w:rFonts w:hint="eastAsia" w:ascii="仿宋_GB2312" w:hAnsi="仿宋_GB2312" w:eastAsia="仿宋_GB2312" w:cs="仿宋_GB2312"/>
                <w:sz w:val="24"/>
                <w:szCs w:val="24"/>
              </w:rPr>
              <w:t>古城改造、旧城区南片棚户区改造、老旧小区改造</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城市道路：</w:t>
            </w:r>
            <w:r>
              <w:rPr>
                <w:rFonts w:hint="eastAsia" w:ascii="仿宋_GB2312" w:hAnsi="仿宋_GB2312" w:eastAsia="仿宋_GB2312" w:cs="仿宋_GB2312"/>
                <w:sz w:val="24"/>
                <w:szCs w:val="24"/>
              </w:rPr>
              <w:t>市政道路改造、幸福大道、滨河新区市政道路、滨河新区金融街；铧山大桥、五龙口桥东侧互通及滨河西路立交南延伸、延兴桥</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过街天桥：</w:t>
            </w:r>
            <w:r>
              <w:rPr>
                <w:rFonts w:hint="eastAsia" w:ascii="仿宋_GB2312" w:hAnsi="仿宋_GB2312" w:eastAsia="仿宋_GB2312" w:cs="仿宋_GB2312"/>
                <w:sz w:val="24"/>
                <w:szCs w:val="24"/>
              </w:rPr>
              <w:t>惠安路、鸳鸯塔、滨河大道、杨业大街等立体人行过街天桥</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市政工程：</w:t>
            </w:r>
            <w:r>
              <w:rPr>
                <w:rFonts w:hint="eastAsia" w:ascii="仿宋_GB2312" w:hAnsi="仿宋_GB2312" w:eastAsia="仿宋_GB2312" w:cs="仿宋_GB2312"/>
                <w:sz w:val="24"/>
                <w:szCs w:val="24"/>
              </w:rPr>
              <w:t>供热工程、水厂三期；滨河新区市政公共工程</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城市公园：</w:t>
            </w:r>
            <w:r>
              <w:rPr>
                <w:rFonts w:hint="eastAsia" w:ascii="仿宋_GB2312" w:hAnsi="仿宋_GB2312" w:eastAsia="仿宋_GB2312" w:cs="仿宋_GB2312"/>
                <w:sz w:val="24"/>
                <w:szCs w:val="24"/>
              </w:rPr>
              <w:t>中心公园、窟野河湿地公园、滨河运动公园</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楷体_GB2312" w:cs="仿宋_GB2312"/>
                <w:sz w:val="24"/>
                <w:szCs w:val="24"/>
                <w:lang w:val="en-US" w:eastAsia="zh-CN"/>
              </w:rPr>
            </w:pPr>
            <w:r>
              <w:rPr>
                <w:rFonts w:hint="eastAsia" w:ascii="楷体_GB2312" w:hAnsi="楷体_GB2312" w:eastAsia="楷体_GB2312" w:cs="楷体_GB2312"/>
                <w:b/>
                <w:bCs/>
                <w:sz w:val="24"/>
                <w:szCs w:val="24"/>
              </w:rPr>
              <w:t>绿化美化：</w:t>
            </w:r>
            <w:r>
              <w:rPr>
                <w:rFonts w:hint="eastAsia" w:ascii="仿宋_GB2312" w:hAnsi="仿宋_GB2312" w:cs="仿宋_GB2312"/>
                <w:sz w:val="24"/>
                <w:szCs w:val="24"/>
                <w:lang w:eastAsia="zh-CN"/>
              </w:rPr>
              <w:t>规划建成区内城市空间公共绿地提升改造；智慧园林。</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城市生态：</w:t>
            </w:r>
            <w:r>
              <w:rPr>
                <w:rFonts w:hint="eastAsia" w:ascii="仿宋_GB2312" w:hAnsi="仿宋_GB2312" w:eastAsia="仿宋_GB2312" w:cs="仿宋_GB2312"/>
                <w:sz w:val="24"/>
                <w:szCs w:val="24"/>
              </w:rPr>
              <w:t>窟野河防洪堤岸及生态治理、滨河新区湿地生态治理、垃圾无害化处理、滨河新区西侧截洪渠上游沟道综合治理工程</w:t>
            </w:r>
            <w:r>
              <w:rPr>
                <w:rFonts w:hint="eastAsia" w:ascii="仿宋_GB2312" w:hAnsi="仿宋_GB2312" w:cs="仿宋_GB2312"/>
                <w:sz w:val="24"/>
                <w:szCs w:val="24"/>
                <w:lang w:eastAsia="zh-CN"/>
              </w:rPr>
              <w:t>。</w:t>
            </w:r>
          </w:p>
          <w:p>
            <w:pPr>
              <w:pStyle w:val="15"/>
              <w:keepNext w:val="0"/>
              <w:keepLines w:val="0"/>
              <w:pageBreakBefore w:val="0"/>
              <w:widowControl w:val="0"/>
              <w:kinsoku/>
              <w:wordWrap/>
              <w:overflowPunct/>
              <w:topLinePunct w:val="0"/>
              <w:bidi w:val="0"/>
              <w:adjustRightInd w:val="0"/>
              <w:snapToGrid w:val="0"/>
              <w:spacing w:line="400" w:lineRule="exact"/>
              <w:ind w:firstLine="562"/>
              <w:jc w:val="both"/>
              <w:textAlignment w:val="auto"/>
              <w:rPr>
                <w:rFonts w:cs="Times New Roman"/>
                <w:color w:val="0000FF"/>
                <w:sz w:val="28"/>
                <w:szCs w:val="24"/>
              </w:rPr>
            </w:pPr>
            <w:r>
              <w:rPr>
                <w:rFonts w:hint="eastAsia" w:ascii="楷体_GB2312" w:hAnsi="楷体_GB2312" w:eastAsia="楷体_GB2312" w:cs="楷体_GB2312"/>
                <w:b/>
                <w:bCs/>
                <w:sz w:val="24"/>
                <w:szCs w:val="24"/>
              </w:rPr>
              <w:t>城市文化：</w:t>
            </w:r>
            <w:r>
              <w:rPr>
                <w:rFonts w:hint="eastAsia" w:ascii="仿宋_GB2312" w:hAnsi="仿宋_GB2312" w:eastAsia="仿宋_GB2312" w:cs="仿宋_GB2312"/>
                <w:sz w:val="24"/>
                <w:szCs w:val="24"/>
              </w:rPr>
              <w:t>科技馆、博物馆、滨河新区体育馆；杨城文化创意产业园。</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66" w:name="_Toc19669"/>
      <w:bookmarkStart w:id="67" w:name="_Toc11187"/>
      <w:r>
        <w:rPr>
          <w:rFonts w:hint="eastAsia" w:ascii="楷体_GB2312" w:hAnsi="楷体_GB2312" w:eastAsia="楷体_GB2312" w:cs="楷体_GB2312"/>
          <w:bCs/>
          <w:sz w:val="32"/>
          <w:szCs w:val="32"/>
        </w:rPr>
        <w:t>第四节 提升镇街发展水平</w:t>
      </w:r>
      <w:bookmarkEnd w:id="66"/>
      <w:bookmarkEnd w:id="67"/>
    </w:p>
    <w:p>
      <w:pPr>
        <w:pStyle w:val="10"/>
        <w:ind w:firstLine="640"/>
        <w:jc w:val="both"/>
        <w:rPr>
          <w:rFonts w:cs="Times New Roman"/>
          <w:sz w:val="32"/>
          <w:szCs w:val="32"/>
        </w:rPr>
      </w:pPr>
      <w:r>
        <w:rPr>
          <w:rFonts w:cs="Times New Roman"/>
          <w:sz w:val="32"/>
          <w:szCs w:val="32"/>
        </w:rPr>
        <w:t>坚持</w:t>
      </w:r>
      <w:r>
        <w:rPr>
          <w:rFonts w:cs="Times New Roman"/>
          <w:bCs/>
          <w:color w:val="000000"/>
          <w:sz w:val="32"/>
          <w:szCs w:val="32"/>
        </w:rPr>
        <w:t>北部转型和南部特色发展</w:t>
      </w:r>
      <w:r>
        <w:rPr>
          <w:rFonts w:cs="Times New Roman"/>
          <w:sz w:val="32"/>
          <w:szCs w:val="32"/>
        </w:rPr>
        <w:t>齐驱并进</w:t>
      </w:r>
      <w:r>
        <w:rPr>
          <w:rFonts w:cs="Times New Roman"/>
          <w:bCs/>
          <w:color w:val="000000"/>
          <w:sz w:val="32"/>
          <w:szCs w:val="32"/>
        </w:rPr>
        <w:t>，</w:t>
      </w:r>
      <w:r>
        <w:rPr>
          <w:rFonts w:cs="Times New Roman"/>
          <w:sz w:val="32"/>
          <w:szCs w:val="32"/>
        </w:rPr>
        <w:t>推动城镇协调发展、错位发展、同步发展。</w:t>
      </w:r>
    </w:p>
    <w:p>
      <w:pPr>
        <w:pStyle w:val="10"/>
        <w:ind w:firstLine="640"/>
        <w:jc w:val="both"/>
        <w:rPr>
          <w:rFonts w:hint="eastAsia" w:eastAsia="仿宋_GB2312" w:cs="Times New Roman"/>
          <w:sz w:val="32"/>
          <w:szCs w:val="32"/>
          <w:lang w:eastAsia="zh-CN"/>
        </w:rPr>
      </w:pPr>
      <w:r>
        <w:rPr>
          <w:rFonts w:hint="eastAsia" w:cs="Times New Roman"/>
          <w:b/>
          <w:bCs/>
          <w:sz w:val="32"/>
          <w:szCs w:val="32"/>
        </w:rPr>
        <w:t>加快重点</w:t>
      </w:r>
      <w:r>
        <w:rPr>
          <w:rFonts w:cs="Times New Roman"/>
          <w:b/>
          <w:bCs/>
          <w:sz w:val="32"/>
          <w:szCs w:val="32"/>
        </w:rPr>
        <w:t>镇</w:t>
      </w:r>
      <w:r>
        <w:rPr>
          <w:rFonts w:hint="eastAsia" w:cs="Times New Roman"/>
          <w:b/>
          <w:bCs/>
          <w:sz w:val="32"/>
          <w:szCs w:val="32"/>
        </w:rPr>
        <w:t>建设</w:t>
      </w:r>
      <w:r>
        <w:rPr>
          <w:rFonts w:cs="Times New Roman"/>
          <w:b/>
          <w:bCs/>
          <w:sz w:val="32"/>
          <w:szCs w:val="32"/>
        </w:rPr>
        <w:t>。</w:t>
      </w:r>
      <w:r>
        <w:rPr>
          <w:rFonts w:cs="Times New Roman"/>
          <w:bCs/>
          <w:color w:val="000000"/>
          <w:sz w:val="32"/>
          <w:szCs w:val="32"/>
        </w:rPr>
        <w:t>支持大柳塔试验区改革创新，转型发展工业旅游、矿用配套等新兴产业，加快采煤沉</w:t>
      </w:r>
      <w:r>
        <w:rPr>
          <w:rFonts w:cs="Times New Roman"/>
          <w:sz w:val="32"/>
          <w:szCs w:val="32"/>
        </w:rPr>
        <w:t>陷区综合治理，创建国家矿区生态文明示范镇。</w:t>
      </w:r>
      <w:r>
        <w:rPr>
          <w:rFonts w:cs="Times New Roman"/>
          <w:bCs/>
          <w:color w:val="000000"/>
          <w:sz w:val="32"/>
          <w:szCs w:val="32"/>
        </w:rPr>
        <w:t>深入推进</w:t>
      </w:r>
      <w:r>
        <w:rPr>
          <w:rFonts w:cs="Times New Roman"/>
          <w:sz w:val="32"/>
          <w:szCs w:val="32"/>
        </w:rPr>
        <w:t>锦界镇</w:t>
      </w:r>
      <w:r>
        <w:rPr>
          <w:rFonts w:cs="Times New Roman"/>
          <w:bCs/>
          <w:color w:val="000000"/>
          <w:sz w:val="32"/>
          <w:szCs w:val="32"/>
        </w:rPr>
        <w:t>“产城融合、镇园一体”发展，加快城镇建设提档升级，</w:t>
      </w:r>
      <w:r>
        <w:rPr>
          <w:rFonts w:cs="Times New Roman"/>
          <w:sz w:val="32"/>
          <w:szCs w:val="32"/>
        </w:rPr>
        <w:t>打造</w:t>
      </w:r>
      <w:r>
        <w:rPr>
          <w:rFonts w:hint="eastAsia" w:cs="Times New Roman"/>
          <w:bCs/>
          <w:color w:val="000000"/>
          <w:sz w:val="32"/>
          <w:szCs w:val="32"/>
        </w:rPr>
        <w:t>高新</w:t>
      </w:r>
      <w:r>
        <w:rPr>
          <w:rFonts w:cs="Times New Roman"/>
          <w:bCs/>
          <w:color w:val="000000"/>
          <w:sz w:val="32"/>
          <w:szCs w:val="32"/>
        </w:rPr>
        <w:t>区生活后勤服务基地</w:t>
      </w:r>
      <w:r>
        <w:rPr>
          <w:rFonts w:cs="Times New Roman"/>
          <w:sz w:val="32"/>
          <w:szCs w:val="32"/>
        </w:rPr>
        <w:t>。大保当镇全力服务榆神工业园区、高新区，打造神木能源化工终端产业高地。高家堡镇依托世界级石峁遗址和中国历史文化名镇，打造神木文化旅游新名片</w:t>
      </w:r>
      <w:r>
        <w:rPr>
          <w:rFonts w:hint="eastAsia" w:cs="Times New Roman"/>
          <w:sz w:val="32"/>
          <w:szCs w:val="32"/>
          <w:lang w:eastAsia="zh-CN"/>
        </w:rPr>
        <w:t>；</w:t>
      </w:r>
      <w:r>
        <w:rPr>
          <w:rFonts w:hint="eastAsia" w:cs="Times New Roman"/>
          <w:sz w:val="32"/>
          <w:szCs w:val="32"/>
          <w:lang w:val="en-US" w:eastAsia="zh-CN"/>
        </w:rPr>
        <w:t>聚焦秃尾河流域综合提升治理，打造现代生态农业田园小镇</w:t>
      </w:r>
      <w:r>
        <w:rPr>
          <w:rFonts w:cs="Times New Roman"/>
          <w:sz w:val="32"/>
          <w:szCs w:val="32"/>
        </w:rPr>
        <w:t>。“沿黄四镇”抢抓黄河流域生态保护和高质量发展机遇，挖掘提升红色、农业等特色产业潜力。</w:t>
      </w:r>
    </w:p>
    <w:p>
      <w:pPr>
        <w:ind w:firstLine="640"/>
        <w:rPr>
          <w:rFonts w:cs="Times New Roman"/>
          <w:sz w:val="32"/>
          <w:szCs w:val="32"/>
        </w:rPr>
      </w:pPr>
      <w:r>
        <w:rPr>
          <w:rFonts w:hint="eastAsia" w:cs="Times New Roman"/>
          <w:b/>
          <w:bCs/>
          <w:sz w:val="32"/>
          <w:szCs w:val="32"/>
        </w:rPr>
        <w:t>鼓励发展特色小镇</w:t>
      </w:r>
      <w:r>
        <w:rPr>
          <w:rFonts w:cs="Times New Roman"/>
          <w:b/>
          <w:bCs/>
          <w:sz w:val="32"/>
          <w:szCs w:val="32"/>
        </w:rPr>
        <w:t>。</w:t>
      </w:r>
      <w:r>
        <w:rPr>
          <w:rFonts w:hint="eastAsia" w:cs="Times New Roman"/>
          <w:sz w:val="32"/>
          <w:szCs w:val="32"/>
        </w:rPr>
        <w:t>坚持政府规划、企业主体、社会协同，</w:t>
      </w:r>
      <w:r>
        <w:rPr>
          <w:rFonts w:cs="Times New Roman"/>
          <w:sz w:val="32"/>
          <w:szCs w:val="32"/>
        </w:rPr>
        <w:t>按照“产业特而强、形态小而美”发展理念，</w:t>
      </w:r>
      <w:r>
        <w:rPr>
          <w:rFonts w:cs="Times New Roman"/>
          <w:bCs/>
          <w:color w:val="000000"/>
          <w:sz w:val="32"/>
          <w:szCs w:val="32"/>
        </w:rPr>
        <w:t>支持其他特色镇进一步合理配置资源，有序集聚人口、产业及各类要素</w:t>
      </w:r>
      <w:r>
        <w:rPr>
          <w:rFonts w:hint="eastAsia" w:cs="Times New Roman"/>
          <w:bCs/>
          <w:color w:val="000000"/>
          <w:sz w:val="32"/>
          <w:szCs w:val="32"/>
        </w:rPr>
        <w:t>资源</w:t>
      </w:r>
      <w:r>
        <w:rPr>
          <w:rFonts w:cs="Times New Roman"/>
          <w:bCs/>
          <w:color w:val="000000"/>
          <w:sz w:val="32"/>
          <w:szCs w:val="32"/>
        </w:rPr>
        <w:t>，全面提升镇域经济发展水平，</w:t>
      </w:r>
      <w:r>
        <w:rPr>
          <w:rFonts w:cs="Times New Roman"/>
          <w:sz w:val="32"/>
          <w:szCs w:val="32"/>
        </w:rPr>
        <w:t>创建一批</w:t>
      </w:r>
      <w:r>
        <w:rPr>
          <w:rFonts w:hint="eastAsia" w:cs="Times New Roman"/>
          <w:sz w:val="32"/>
          <w:szCs w:val="32"/>
        </w:rPr>
        <w:t>各具</w:t>
      </w:r>
      <w:r>
        <w:rPr>
          <w:rFonts w:cs="Times New Roman"/>
          <w:sz w:val="32"/>
          <w:szCs w:val="32"/>
        </w:rPr>
        <w:t>特色</w:t>
      </w:r>
      <w:r>
        <w:rPr>
          <w:rFonts w:hint="eastAsia" w:cs="Times New Roman"/>
          <w:sz w:val="32"/>
          <w:szCs w:val="32"/>
        </w:rPr>
        <w:t>的</w:t>
      </w:r>
      <w:r>
        <w:rPr>
          <w:rFonts w:cs="Times New Roman"/>
          <w:sz w:val="32"/>
          <w:szCs w:val="32"/>
        </w:rPr>
        <w:t>小镇。</w:t>
      </w:r>
    </w:p>
    <w:tbl>
      <w:tblPr>
        <w:tblStyle w:val="25"/>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32" w:type="dxa"/>
          </w:tcPr>
          <w:p>
            <w:pPr>
              <w:pStyle w:val="10"/>
              <w:ind w:firstLine="0" w:firstLineChars="0"/>
              <w:jc w:val="both"/>
              <w:rPr>
                <w:rFonts w:cs="Times New Roman"/>
                <w:b/>
                <w:bCs/>
                <w:sz w:val="32"/>
                <w:szCs w:val="32"/>
                <w:shd w:val="clear" w:color="auto" w:fill="FFFFFF"/>
              </w:rPr>
            </w:pPr>
            <w:r>
              <w:rPr>
                <w:rFonts w:hint="eastAsia" w:ascii="黑体" w:hAnsi="黑体" w:eastAsia="黑体" w:cs="黑体"/>
                <w:sz w:val="24"/>
                <w:szCs w:val="24"/>
                <w:lang w:val="en-US" w:eastAsia="zh-CN" w:bidi="ar-SA"/>
              </w:rPr>
              <w:t>专栏14：</w:t>
            </w:r>
            <w:r>
              <w:rPr>
                <w:rFonts w:hint="eastAsia" w:ascii="仿宋_GB2312" w:hAnsi="仿宋_GB2312" w:eastAsia="仿宋_GB2312" w:cs="仿宋_GB2312"/>
                <w:b w:val="0"/>
                <w:bCs w:val="0"/>
                <w:sz w:val="28"/>
                <w:szCs w:val="28"/>
                <w:shd w:val="clear" w:color="auto" w:fill="FFFFFF"/>
              </w:rPr>
              <w:t xml:space="preserve">  </w:t>
            </w:r>
            <w:r>
              <w:rPr>
                <w:rFonts w:cs="Times New Roman"/>
                <w:b/>
                <w:bCs/>
                <w:sz w:val="32"/>
                <w:szCs w:val="32"/>
                <w:shd w:val="clear" w:color="auto" w:fill="FFFFFF"/>
              </w:rPr>
              <w:t xml:space="preserve"> </w:t>
            </w:r>
            <w:r>
              <w:rPr>
                <w:rFonts w:cs="Times New Roman"/>
                <w:sz w:val="32"/>
                <w:szCs w:val="32"/>
                <w:shd w:val="clear" w:color="auto" w:fill="FFFFFF"/>
              </w:rPr>
              <w:t xml:space="preserve">           </w:t>
            </w:r>
            <w:r>
              <w:rPr>
                <w:rFonts w:cs="Times New Roman"/>
                <w:b/>
                <w:bCs/>
                <w:sz w:val="32"/>
                <w:szCs w:val="32"/>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黑体" w:hAnsi="黑体" w:eastAsia="黑体" w:cs="黑体"/>
                <w:b w:val="0"/>
                <w:bCs w:val="0"/>
                <w:sz w:val="28"/>
                <w:szCs w:val="28"/>
                <w:shd w:val="clear" w:color="auto" w:fill="FFFFFF"/>
              </w:rPr>
            </w:pPr>
            <w:r>
              <w:rPr>
                <w:rFonts w:hint="eastAsia" w:ascii="黑体" w:hAnsi="黑体" w:eastAsia="黑体" w:cs="黑体"/>
                <w:b w:val="0"/>
                <w:bCs w:val="0"/>
                <w:sz w:val="28"/>
                <w:szCs w:val="28"/>
                <w:shd w:val="clear" w:color="auto" w:fill="FFFFFF"/>
              </w:rPr>
              <w:t>特色小城镇培育工程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文化旅游型：</w:t>
            </w:r>
            <w:r>
              <w:rPr>
                <w:rFonts w:hint="eastAsia" w:ascii="仿宋_GB2312" w:hAnsi="仿宋_GB2312" w:eastAsia="仿宋_GB2312" w:cs="仿宋_GB2312"/>
                <w:sz w:val="24"/>
                <w:szCs w:val="24"/>
              </w:rPr>
              <w:t>高家堡</w:t>
            </w:r>
            <w:r>
              <w:rPr>
                <w:rFonts w:hint="eastAsia" w:ascii="仿宋_GB2312" w:hAnsi="仿宋_GB2312" w:cs="仿宋_GB2312"/>
                <w:sz w:val="24"/>
                <w:szCs w:val="24"/>
                <w:lang w:val="en-US" w:eastAsia="zh-CN"/>
              </w:rPr>
              <w:t>现代农商文旅田园小镇</w:t>
            </w:r>
            <w:r>
              <w:rPr>
                <w:rFonts w:hint="eastAsia" w:ascii="仿宋_GB2312" w:hAnsi="仿宋_GB2312" w:eastAsia="仿宋_GB2312" w:cs="仿宋_GB2312"/>
                <w:sz w:val="24"/>
                <w:szCs w:val="24"/>
              </w:rPr>
              <w:t>、滨河新区文旅小镇、尔林兔</w:t>
            </w:r>
            <w:r>
              <w:rPr>
                <w:rFonts w:hint="eastAsia" w:ascii="仿宋_GB2312" w:hAnsi="仿宋_GB2312" w:cs="仿宋_GB2312"/>
                <w:sz w:val="24"/>
                <w:szCs w:val="24"/>
                <w:lang w:val="en-US" w:eastAsia="zh-CN"/>
              </w:rPr>
              <w:t>大漠草原风情</w:t>
            </w:r>
            <w:r>
              <w:rPr>
                <w:rFonts w:hint="eastAsia" w:ascii="仿宋_GB2312" w:hAnsi="仿宋_GB2312" w:eastAsia="仿宋_GB2312" w:cs="仿宋_GB2312"/>
                <w:sz w:val="24"/>
                <w:szCs w:val="24"/>
              </w:rPr>
              <w:t>小镇、贺家川神府革命老区红色旅游小镇、店塔杨家将忠勇文化小镇、沙峁红色记忆旅游小镇</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生态工矿型：</w:t>
            </w:r>
            <w:r>
              <w:rPr>
                <w:rFonts w:hint="eastAsia" w:ascii="仿宋_GB2312" w:hAnsi="仿宋_GB2312" w:eastAsia="仿宋_GB2312" w:cs="仿宋_GB2312"/>
                <w:sz w:val="24"/>
                <w:szCs w:val="24"/>
              </w:rPr>
              <w:t>孙家岔能源小镇、大柳塔煤海塞罕坝矿山生态文明示范小镇</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cs="Times New Roman" w:eastAsiaTheme="minorEastAsia"/>
                <w:sz w:val="32"/>
                <w:szCs w:val="32"/>
                <w:shd w:val="clear" w:color="auto" w:fill="FFFFFF"/>
              </w:rPr>
            </w:pPr>
            <w:r>
              <w:rPr>
                <w:rFonts w:hint="eastAsia" w:ascii="楷体_GB2312" w:hAnsi="楷体_GB2312" w:eastAsia="楷体_GB2312" w:cs="楷体_GB2312"/>
                <w:b/>
                <w:bCs/>
                <w:sz w:val="24"/>
                <w:szCs w:val="24"/>
              </w:rPr>
              <w:t>农业康养型：</w:t>
            </w:r>
            <w:r>
              <w:rPr>
                <w:rFonts w:hint="eastAsia" w:ascii="仿宋_GB2312" w:hAnsi="仿宋_GB2312" w:eastAsia="仿宋_GB2312" w:cs="仿宋_GB2312"/>
                <w:sz w:val="24"/>
                <w:szCs w:val="24"/>
              </w:rPr>
              <w:t>栏杆堡有机农业小镇、万镇曼乔红枣咖啡小镇、西沙街道康养小镇、中鸡镇独特风情森林小镇、马镇盘塘村田园综合</w:t>
            </w:r>
            <w:r>
              <w:rPr>
                <w:rFonts w:hint="eastAsia" w:ascii="仿宋_GB2312" w:hAnsi="仿宋_GB2312" w:cs="仿宋_GB2312"/>
                <w:sz w:val="24"/>
                <w:szCs w:val="24"/>
                <w:lang w:eastAsia="zh-CN"/>
              </w:rPr>
              <w:t>小镇</w:t>
            </w:r>
            <w:r>
              <w:rPr>
                <w:rFonts w:hint="eastAsia" w:ascii="仿宋_GB2312" w:hAnsi="仿宋_GB2312" w:eastAsia="仿宋_GB2312" w:cs="仿宋_GB2312"/>
                <w:sz w:val="24"/>
                <w:szCs w:val="24"/>
              </w:rPr>
              <w:t>。</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68" w:name="_Toc5755"/>
      <w:bookmarkStart w:id="69" w:name="_Toc23244"/>
      <w:r>
        <w:rPr>
          <w:rFonts w:hint="eastAsia" w:ascii="楷体_GB2312" w:hAnsi="楷体_GB2312" w:eastAsia="楷体_GB2312" w:cs="楷体_GB2312"/>
          <w:bCs/>
          <w:sz w:val="32"/>
          <w:szCs w:val="32"/>
        </w:rPr>
        <w:t>第五节 提升新型社区和中心村</w:t>
      </w:r>
      <w:bookmarkEnd w:id="68"/>
      <w:r>
        <w:rPr>
          <w:rFonts w:hint="eastAsia" w:ascii="楷体_GB2312" w:hAnsi="楷体_GB2312" w:eastAsia="楷体_GB2312" w:cs="楷体_GB2312"/>
          <w:bCs/>
          <w:sz w:val="32"/>
          <w:szCs w:val="32"/>
        </w:rPr>
        <w:t>服务水平</w:t>
      </w:r>
      <w:bookmarkEnd w:id="69"/>
    </w:p>
    <w:p>
      <w:pPr>
        <w:pStyle w:val="10"/>
        <w:ind w:firstLine="640"/>
        <w:jc w:val="both"/>
        <w:rPr>
          <w:rFonts w:cs="Times New Roman"/>
          <w:sz w:val="32"/>
          <w:szCs w:val="32"/>
        </w:rPr>
      </w:pPr>
      <w:r>
        <w:rPr>
          <w:rFonts w:cs="Times New Roman"/>
          <w:sz w:val="32"/>
          <w:szCs w:val="32"/>
        </w:rPr>
        <w:t>加</w:t>
      </w:r>
      <w:r>
        <w:rPr>
          <w:rFonts w:hint="eastAsia" w:cs="Times New Roman"/>
          <w:sz w:val="32"/>
          <w:szCs w:val="32"/>
        </w:rPr>
        <w:t>大</w:t>
      </w:r>
      <w:r>
        <w:rPr>
          <w:rFonts w:cs="Times New Roman"/>
          <w:sz w:val="32"/>
          <w:szCs w:val="32"/>
        </w:rPr>
        <w:t>新型社区建设</w:t>
      </w:r>
      <w:r>
        <w:rPr>
          <w:rFonts w:hint="eastAsia" w:cs="Times New Roman"/>
          <w:sz w:val="32"/>
          <w:szCs w:val="32"/>
        </w:rPr>
        <w:t>力度</w:t>
      </w:r>
      <w:r>
        <w:rPr>
          <w:rFonts w:cs="Times New Roman"/>
          <w:sz w:val="32"/>
          <w:szCs w:val="32"/>
        </w:rPr>
        <w:t>，</w:t>
      </w:r>
      <w:r>
        <w:rPr>
          <w:rFonts w:hint="eastAsia" w:cs="Times New Roman"/>
          <w:sz w:val="32"/>
          <w:szCs w:val="32"/>
        </w:rPr>
        <w:t>全面推进</w:t>
      </w:r>
      <w:r>
        <w:rPr>
          <w:rFonts w:cs="Times New Roman"/>
          <w:sz w:val="32"/>
          <w:szCs w:val="32"/>
        </w:rPr>
        <w:t>便民服务中心升级改造，新增省级标准化社区10个以上。完善社区设施建设，建设智慧社区信息化</w:t>
      </w:r>
      <w:r>
        <w:rPr>
          <w:rFonts w:hint="eastAsia" w:cs="Times New Roman"/>
          <w:sz w:val="32"/>
          <w:szCs w:val="32"/>
        </w:rPr>
        <w:t>网格化管理</w:t>
      </w:r>
      <w:r>
        <w:rPr>
          <w:rFonts w:cs="Times New Roman"/>
          <w:sz w:val="32"/>
          <w:szCs w:val="32"/>
        </w:rPr>
        <w:t>平台</w:t>
      </w:r>
      <w:r>
        <w:rPr>
          <w:rFonts w:hint="eastAsia" w:cs="Times New Roman"/>
          <w:sz w:val="32"/>
          <w:szCs w:val="32"/>
          <w:lang w:eastAsia="zh-CN"/>
        </w:rPr>
        <w:t>。</w:t>
      </w:r>
      <w:r>
        <w:rPr>
          <w:rFonts w:cs="Times New Roman"/>
          <w:sz w:val="32"/>
          <w:szCs w:val="32"/>
        </w:rPr>
        <w:t>加强社区专业化人才队伍建设，</w:t>
      </w:r>
      <w:r>
        <w:rPr>
          <w:rFonts w:hint="eastAsia" w:cs="Times New Roman"/>
          <w:sz w:val="32"/>
          <w:szCs w:val="32"/>
        </w:rPr>
        <w:t>引导社区发展志愿者服务，</w:t>
      </w:r>
      <w:r>
        <w:rPr>
          <w:rFonts w:cs="Times New Roman"/>
          <w:sz w:val="32"/>
          <w:szCs w:val="32"/>
        </w:rPr>
        <w:t>支持有条件的社区开展日间</w:t>
      </w:r>
      <w:r>
        <w:rPr>
          <w:rFonts w:hint="eastAsia" w:cs="Times New Roman"/>
          <w:sz w:val="32"/>
          <w:szCs w:val="32"/>
        </w:rPr>
        <w:t>夜间</w:t>
      </w:r>
      <w:r>
        <w:rPr>
          <w:rFonts w:cs="Times New Roman"/>
          <w:sz w:val="32"/>
          <w:szCs w:val="32"/>
        </w:rPr>
        <w:t>照料、文体活动等服务。强化中心村基础和公共服务设施建设，增强中心村对周边乡村人口的集聚能力和服务辐射水平</w:t>
      </w:r>
      <w:r>
        <w:rPr>
          <w:rFonts w:hint="eastAsia" w:cs="Times New Roman"/>
          <w:sz w:val="32"/>
          <w:szCs w:val="32"/>
        </w:rPr>
        <w:t>。到2025年，</w:t>
      </w:r>
      <w:r>
        <w:rPr>
          <w:rFonts w:cs="Times New Roman"/>
          <w:sz w:val="32"/>
          <w:szCs w:val="32"/>
        </w:rPr>
        <w:t>新增中心村100个。</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70" w:name="_Toc18869"/>
      <w:bookmarkStart w:id="71" w:name="_Toc19910"/>
      <w:r>
        <w:rPr>
          <w:rFonts w:hint="eastAsia" w:ascii="楷体_GB2312" w:hAnsi="楷体_GB2312" w:eastAsia="楷体_GB2312" w:cs="楷体_GB2312"/>
          <w:bCs/>
          <w:sz w:val="32"/>
          <w:szCs w:val="32"/>
        </w:rPr>
        <w:t>第六节 统筹推进城乡融合</w:t>
      </w:r>
      <w:bookmarkEnd w:id="70"/>
      <w:r>
        <w:rPr>
          <w:rFonts w:hint="eastAsia" w:ascii="楷体_GB2312" w:hAnsi="楷体_GB2312" w:eastAsia="楷体_GB2312" w:cs="楷体_GB2312"/>
          <w:bCs/>
          <w:sz w:val="32"/>
          <w:szCs w:val="32"/>
        </w:rPr>
        <w:t>发展</w:t>
      </w:r>
      <w:bookmarkEnd w:id="71"/>
    </w:p>
    <w:p>
      <w:pPr>
        <w:ind w:firstLine="640"/>
        <w:jc w:val="both"/>
        <w:rPr>
          <w:rFonts w:cs="Times New Roman"/>
          <w:color w:val="000000"/>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cs="Times New Roman"/>
          <w:color w:val="000000"/>
          <w:sz w:val="32"/>
          <w:szCs w:val="32"/>
        </w:rPr>
        <w:t>坚决破除妨碍城乡要素自由流动和平等交换的体制壁垒，促进各类要素更多向乡村流动，探索“离乡不离土”的城乡一体化发展新模式。</w:t>
      </w:r>
      <w:r>
        <w:rPr>
          <w:rFonts w:hint="eastAsia" w:cs="Times New Roman"/>
          <w:color w:val="000000"/>
          <w:sz w:val="32"/>
          <w:szCs w:val="32"/>
        </w:rPr>
        <w:t>深化</w:t>
      </w:r>
      <w:r>
        <w:rPr>
          <w:rFonts w:cs="Times New Roman"/>
          <w:color w:val="000000"/>
          <w:sz w:val="32"/>
          <w:szCs w:val="32"/>
        </w:rPr>
        <w:t>户籍制度改革，维护进城落户农民土地承包权、宅基地使用权、集体收益分配权。建立健全财政投入保障</w:t>
      </w:r>
      <w:r>
        <w:rPr>
          <w:rFonts w:hint="eastAsia" w:cs="Times New Roman"/>
          <w:color w:val="000000"/>
          <w:sz w:val="32"/>
          <w:szCs w:val="32"/>
        </w:rPr>
        <w:t>和</w:t>
      </w:r>
      <w:r>
        <w:rPr>
          <w:rFonts w:cs="Times New Roman"/>
          <w:color w:val="000000"/>
          <w:sz w:val="32"/>
          <w:szCs w:val="32"/>
        </w:rPr>
        <w:t>涉农资金整合机制，提高资金配置效率。健全全民覆盖、普惠共享、城乡一体的基本公共服务体系</w:t>
      </w:r>
      <w:r>
        <w:rPr>
          <w:rFonts w:hint="eastAsia" w:cs="Times New Roman"/>
          <w:color w:val="000000"/>
          <w:sz w:val="32"/>
          <w:szCs w:val="32"/>
          <w:lang w:eastAsia="zh-CN"/>
        </w:rPr>
        <w:t>，</w:t>
      </w:r>
      <w:r>
        <w:rPr>
          <w:rFonts w:cs="Times New Roman"/>
          <w:color w:val="000000"/>
          <w:sz w:val="32"/>
          <w:szCs w:val="32"/>
        </w:rPr>
        <w:t>统筹城乡社会保障体系，做好城乡社会救助兜底工作，织密兜牢困难群众基本生活安全网。</w:t>
      </w:r>
      <w:bookmarkStart w:id="72" w:name="_Toc5489"/>
    </w:p>
    <w:p>
      <w:pPr>
        <w:pStyle w:val="3"/>
        <w:ind w:left="0" w:firstLine="0" w:firstLineChars="0"/>
        <w:jc w:val="center"/>
        <w:rPr>
          <w:rFonts w:hint="default" w:ascii="Times New Roman" w:hAnsi="Times New Roman" w:eastAsia="方正小标宋简体" w:cs="Times New Roman"/>
          <w:w w:val="85"/>
          <w:sz w:val="44"/>
          <w:szCs w:val="44"/>
          <w:lang w:val="en-US" w:eastAsia="zh-CN"/>
        </w:rPr>
      </w:pPr>
      <w:bookmarkStart w:id="73" w:name="_Toc15097"/>
      <w:r>
        <w:rPr>
          <w:rFonts w:ascii="Times New Roman" w:hAnsi="Times New Roman" w:eastAsia="方正小标宋简体" w:cs="Times New Roman"/>
          <w:w w:val="85"/>
          <w:sz w:val="44"/>
          <w:szCs w:val="44"/>
        </w:rPr>
        <w:t xml:space="preserve">第十章 </w:t>
      </w:r>
      <w:r>
        <w:rPr>
          <w:rFonts w:hint="eastAsia" w:ascii="Times New Roman" w:hAnsi="Times New Roman" w:eastAsia="方正小标宋简体" w:cs="Times New Roman"/>
          <w:w w:val="85"/>
          <w:sz w:val="44"/>
          <w:szCs w:val="44"/>
          <w:lang w:val="en-US" w:eastAsia="zh-CN"/>
        </w:rPr>
        <w:t>坚持</w:t>
      </w:r>
      <w:r>
        <w:rPr>
          <w:rFonts w:ascii="Times New Roman" w:hAnsi="Times New Roman" w:eastAsia="方正小标宋简体" w:cs="Times New Roman"/>
          <w:w w:val="85"/>
          <w:sz w:val="44"/>
          <w:szCs w:val="44"/>
        </w:rPr>
        <w:t>融合</w:t>
      </w:r>
      <w:r>
        <w:rPr>
          <w:rFonts w:hint="eastAsia" w:ascii="Times New Roman" w:hAnsi="Times New Roman" w:eastAsia="方正小标宋简体" w:cs="Times New Roman"/>
          <w:w w:val="85"/>
          <w:sz w:val="44"/>
          <w:szCs w:val="44"/>
          <w:lang w:val="en-US" w:eastAsia="zh-CN"/>
        </w:rPr>
        <w:t>发展</w:t>
      </w:r>
      <w:r>
        <w:rPr>
          <w:rFonts w:ascii="Times New Roman" w:hAnsi="Times New Roman" w:eastAsia="方正小标宋简体" w:cs="Times New Roman"/>
          <w:w w:val="85"/>
          <w:sz w:val="44"/>
          <w:szCs w:val="44"/>
        </w:rPr>
        <w:t>，</w:t>
      </w:r>
      <w:bookmarkEnd w:id="72"/>
      <w:r>
        <w:rPr>
          <w:rFonts w:hint="eastAsia" w:ascii="Times New Roman" w:hAnsi="Times New Roman" w:eastAsia="方正小标宋简体" w:cs="Times New Roman"/>
          <w:w w:val="85"/>
          <w:sz w:val="44"/>
          <w:szCs w:val="44"/>
          <w:lang w:val="en-US" w:eastAsia="zh-CN"/>
        </w:rPr>
        <w:t>打造文旅品牌化发展新名片</w:t>
      </w:r>
      <w:bookmarkEnd w:id="73"/>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kern w:val="2"/>
          <w:sz w:val="32"/>
          <w:szCs w:val="32"/>
        </w:rPr>
      </w:pPr>
      <w:r>
        <w:rPr>
          <w:rFonts w:hint="eastAsia" w:cs="Times New Roman"/>
          <w:kern w:val="2"/>
          <w:sz w:val="32"/>
          <w:szCs w:val="32"/>
        </w:rPr>
        <w:t>坚持</w:t>
      </w:r>
      <w:r>
        <w:rPr>
          <w:rFonts w:cs="Times New Roman"/>
          <w:kern w:val="2"/>
          <w:sz w:val="32"/>
          <w:szCs w:val="32"/>
        </w:rPr>
        <w:t>“以文</w:t>
      </w:r>
      <w:r>
        <w:rPr>
          <w:rFonts w:hint="eastAsia" w:cs="Times New Roman"/>
          <w:kern w:val="2"/>
          <w:sz w:val="32"/>
          <w:szCs w:val="32"/>
          <w:lang w:val="en-US" w:eastAsia="zh-CN"/>
        </w:rPr>
        <w:t>促</w:t>
      </w:r>
      <w:r>
        <w:rPr>
          <w:rFonts w:cs="Times New Roman"/>
          <w:kern w:val="2"/>
          <w:sz w:val="32"/>
          <w:szCs w:val="32"/>
        </w:rPr>
        <w:t>旅、以旅彰文”，抢抓文旅产业提速升级的重大机遇，积极进取，守正创新，推进文化和旅游有机融合，扩大文旅产品和服务高质量供给，努力将神木建设成为</w:t>
      </w:r>
      <w:r>
        <w:rPr>
          <w:rFonts w:hint="eastAsia" w:cs="Times New Roman"/>
          <w:kern w:val="2"/>
          <w:sz w:val="32"/>
          <w:szCs w:val="32"/>
        </w:rPr>
        <w:t>北方新型文化</w:t>
      </w:r>
      <w:r>
        <w:rPr>
          <w:rFonts w:cs="Times New Roman"/>
          <w:kern w:val="2"/>
          <w:sz w:val="32"/>
          <w:szCs w:val="32"/>
        </w:rPr>
        <w:t>旅游</w:t>
      </w:r>
      <w:r>
        <w:rPr>
          <w:rFonts w:hint="eastAsia" w:cs="Times New Roman"/>
          <w:kern w:val="2"/>
          <w:sz w:val="32"/>
          <w:szCs w:val="32"/>
        </w:rPr>
        <w:t>首选</w:t>
      </w:r>
      <w:r>
        <w:rPr>
          <w:rFonts w:cs="Times New Roman"/>
          <w:kern w:val="2"/>
          <w:sz w:val="32"/>
          <w:szCs w:val="32"/>
        </w:rPr>
        <w:t>地。</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74" w:name="_Toc47"/>
      <w:bookmarkStart w:id="75" w:name="_Toc3117"/>
      <w:r>
        <w:rPr>
          <w:rFonts w:hint="eastAsia" w:ascii="楷体_GB2312" w:hAnsi="楷体_GB2312" w:eastAsia="楷体_GB2312" w:cs="楷体_GB2312"/>
          <w:bCs/>
          <w:sz w:val="32"/>
          <w:szCs w:val="32"/>
        </w:rPr>
        <w:t>第一节 大力弘扬神木精神</w:t>
      </w:r>
      <w:bookmarkEnd w:id="74"/>
      <w:bookmarkEnd w:id="75"/>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kern w:val="2"/>
          <w:sz w:val="32"/>
          <w:szCs w:val="32"/>
        </w:rPr>
      </w:pPr>
      <w:r>
        <w:rPr>
          <w:rFonts w:hint="eastAsia" w:cs="Times New Roman"/>
          <w:kern w:val="2"/>
          <w:sz w:val="32"/>
          <w:szCs w:val="32"/>
        </w:rPr>
        <w:t>以践行“</w:t>
      </w:r>
      <w:r>
        <w:rPr>
          <w:rFonts w:cs="Times New Roman"/>
          <w:kern w:val="2"/>
          <w:sz w:val="32"/>
          <w:szCs w:val="32"/>
        </w:rPr>
        <w:t>忠勇、创新、包容、共享</w:t>
      </w:r>
      <w:r>
        <w:rPr>
          <w:rFonts w:hint="eastAsia" w:cs="Times New Roman"/>
          <w:kern w:val="2"/>
          <w:sz w:val="32"/>
          <w:szCs w:val="32"/>
        </w:rPr>
        <w:t>”的</w:t>
      </w:r>
      <w:r>
        <w:rPr>
          <w:rFonts w:cs="Times New Roman"/>
          <w:kern w:val="2"/>
          <w:sz w:val="32"/>
          <w:szCs w:val="32"/>
        </w:rPr>
        <w:t>神木城市精神</w:t>
      </w:r>
      <w:r>
        <w:rPr>
          <w:rFonts w:hint="eastAsia" w:cs="Times New Roman"/>
          <w:kern w:val="2"/>
          <w:sz w:val="32"/>
          <w:szCs w:val="32"/>
        </w:rPr>
        <w:t>为统领，</w:t>
      </w:r>
      <w:r>
        <w:rPr>
          <w:rFonts w:cs="Times New Roman"/>
          <w:kern w:val="2"/>
          <w:sz w:val="32"/>
          <w:szCs w:val="32"/>
        </w:rPr>
        <w:t>凝聚转型发展、创新创业强大力量，增强神木持续发展竞争力。</w:t>
      </w:r>
      <w:r>
        <w:rPr>
          <w:rFonts w:hint="eastAsia" w:cs="Times New Roman"/>
          <w:kern w:val="2"/>
          <w:sz w:val="32"/>
          <w:szCs w:val="32"/>
        </w:rPr>
        <w:t>深入推进</w:t>
      </w:r>
      <w:r>
        <w:rPr>
          <w:rFonts w:cs="Times New Roman"/>
          <w:color w:val="000000"/>
          <w:sz w:val="32"/>
          <w:szCs w:val="32"/>
          <w:shd w:val="clear" w:color="auto" w:fill="FFFFFF"/>
        </w:rPr>
        <w:t>群众性精神文明创建活动，加大“神木好人”“五星级模范家庭”评选推报力度，稳步提高城市文明指数</w:t>
      </w:r>
      <w:r>
        <w:rPr>
          <w:rFonts w:cs="Times New Roman"/>
          <w:kern w:val="2"/>
          <w:sz w:val="32"/>
          <w:szCs w:val="32"/>
        </w:rPr>
        <w:t>，建</w:t>
      </w:r>
      <w:r>
        <w:rPr>
          <w:rFonts w:hint="eastAsia" w:cs="Times New Roman"/>
          <w:kern w:val="2"/>
          <w:sz w:val="32"/>
          <w:szCs w:val="32"/>
          <w:lang w:eastAsia="zh-CN"/>
        </w:rPr>
        <w:t>成</w:t>
      </w:r>
      <w:r>
        <w:rPr>
          <w:rFonts w:cs="Times New Roman"/>
          <w:kern w:val="2"/>
          <w:sz w:val="32"/>
          <w:szCs w:val="32"/>
        </w:rPr>
        <w:t>全国文明城市</w:t>
      </w:r>
      <w:r>
        <w:rPr>
          <w:rFonts w:cs="Times New Roman"/>
          <w:color w:val="000000"/>
          <w:sz w:val="32"/>
          <w:szCs w:val="32"/>
          <w:shd w:val="clear" w:color="auto" w:fill="FFFFFF"/>
        </w:rPr>
        <w:t>。</w:t>
      </w:r>
      <w:r>
        <w:rPr>
          <w:rFonts w:cs="Times New Roman"/>
          <w:kern w:val="2"/>
          <w:sz w:val="32"/>
          <w:szCs w:val="32"/>
        </w:rPr>
        <w:t>推进志愿</w:t>
      </w:r>
      <w:r>
        <w:rPr>
          <w:rFonts w:cs="Times New Roman"/>
          <w:color w:val="000000"/>
          <w:sz w:val="32"/>
          <w:szCs w:val="32"/>
          <w:shd w:val="clear" w:color="auto" w:fill="FFFFFF"/>
        </w:rPr>
        <w:t>服务制度化，广泛开展志愿服务关爱行动。</w:t>
      </w:r>
      <w:r>
        <w:rPr>
          <w:rFonts w:cs="Times New Roman"/>
          <w:kern w:val="2"/>
          <w:sz w:val="32"/>
          <w:szCs w:val="32"/>
        </w:rPr>
        <w:t>加强新时代文明实践中心建设，深化“厚德神木”“诚信神木”建设，提倡艰苦奋斗、勤俭节约，</w:t>
      </w:r>
      <w:r>
        <w:rPr>
          <w:rFonts w:cs="Times New Roman"/>
          <w:color w:val="000000"/>
          <w:sz w:val="32"/>
          <w:szCs w:val="32"/>
          <w:shd w:val="clear" w:color="auto" w:fill="FFFFFF"/>
        </w:rPr>
        <w:t>加强家庭、家教、家风建设，</w:t>
      </w:r>
      <w:r>
        <w:rPr>
          <w:rFonts w:cs="Times New Roman"/>
          <w:kern w:val="2"/>
          <w:sz w:val="32"/>
          <w:szCs w:val="32"/>
        </w:rPr>
        <w:t>展示新时代神木市民的良好精神面貌、文明风尚。</w:t>
      </w:r>
      <w:r>
        <w:rPr>
          <w:rFonts w:cs="Times New Roman"/>
          <w:color w:val="000000"/>
          <w:sz w:val="32"/>
          <w:szCs w:val="32"/>
          <w:shd w:val="clear" w:color="auto" w:fill="FFFFFF"/>
        </w:rPr>
        <w:t>弘扬传统文化，传承黄河文化、长城文化，加强文物、</w:t>
      </w:r>
      <w:r>
        <w:rPr>
          <w:rFonts w:hint="eastAsia" w:cs="Times New Roman"/>
          <w:color w:val="000000"/>
          <w:sz w:val="32"/>
          <w:szCs w:val="32"/>
          <w:shd w:val="clear" w:color="auto" w:fill="FFFFFF"/>
          <w:lang w:eastAsia="zh-CN"/>
        </w:rPr>
        <w:t>古迹</w:t>
      </w:r>
      <w:r>
        <w:rPr>
          <w:rFonts w:cs="Times New Roman"/>
          <w:color w:val="000000"/>
          <w:sz w:val="32"/>
          <w:szCs w:val="32"/>
          <w:shd w:val="clear" w:color="auto" w:fill="FFFFFF"/>
        </w:rPr>
        <w:t>保护研究</w:t>
      </w:r>
      <w:r>
        <w:rPr>
          <w:rFonts w:hint="eastAsia" w:cs="Times New Roman"/>
          <w:color w:val="000000"/>
          <w:sz w:val="32"/>
          <w:szCs w:val="32"/>
          <w:shd w:val="clear" w:color="auto" w:fill="FFFFFF"/>
        </w:rPr>
        <w:t>和</w:t>
      </w:r>
      <w:r>
        <w:rPr>
          <w:rFonts w:cs="Times New Roman"/>
          <w:color w:val="000000"/>
          <w:sz w:val="32"/>
          <w:szCs w:val="32"/>
          <w:shd w:val="clear" w:color="auto" w:fill="FFFFFF"/>
        </w:rPr>
        <w:t>利用，鼓励有条件的</w:t>
      </w:r>
      <w:r>
        <w:rPr>
          <w:rFonts w:hint="eastAsia" w:cs="Times New Roman"/>
          <w:color w:val="000000"/>
          <w:sz w:val="32"/>
          <w:szCs w:val="32"/>
          <w:shd w:val="clear" w:color="auto" w:fill="FFFFFF"/>
          <w:lang w:eastAsia="zh-CN"/>
        </w:rPr>
        <w:t>地方</w:t>
      </w:r>
      <w:r>
        <w:rPr>
          <w:rFonts w:cs="Times New Roman"/>
          <w:color w:val="000000"/>
          <w:sz w:val="32"/>
          <w:szCs w:val="32"/>
          <w:shd w:val="clear" w:color="auto" w:fill="FFFFFF"/>
        </w:rPr>
        <w:t>编写镇志、村志。</w:t>
      </w:r>
      <w:r>
        <w:rPr>
          <w:rFonts w:cs="Times New Roman"/>
          <w:kern w:val="2"/>
          <w:sz w:val="32"/>
          <w:szCs w:val="32"/>
        </w:rPr>
        <w:t>实施移动优先和媒体融合战略，</w:t>
      </w:r>
      <w:r>
        <w:rPr>
          <w:rFonts w:cs="Times New Roman"/>
          <w:color w:val="000000"/>
          <w:sz w:val="32"/>
          <w:szCs w:val="32"/>
          <w:shd w:val="clear" w:color="auto" w:fill="FFFFFF"/>
        </w:rPr>
        <w:t>打造新型主流媒体。</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76" w:name="_Toc7054"/>
      <w:bookmarkStart w:id="77" w:name="_Toc19609"/>
      <w:r>
        <w:rPr>
          <w:rFonts w:hint="eastAsia" w:ascii="楷体_GB2312" w:hAnsi="楷体_GB2312" w:eastAsia="楷体_GB2312" w:cs="楷体_GB2312"/>
          <w:bCs/>
          <w:sz w:val="32"/>
          <w:szCs w:val="32"/>
        </w:rPr>
        <w:t>第二节 打造石峁世界名片</w:t>
      </w:r>
      <w:bookmarkEnd w:id="76"/>
      <w:bookmarkEnd w:id="77"/>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eastAsia" w:cs="Times New Roman"/>
          <w:kern w:val="2"/>
          <w:sz w:val="32"/>
          <w:szCs w:val="32"/>
          <w:lang w:val="en-US" w:eastAsia="zh-CN"/>
        </w:rPr>
      </w:pPr>
      <w:r>
        <w:rPr>
          <w:rFonts w:hint="eastAsia" w:cs="Times New Roman"/>
          <w:kern w:val="2"/>
          <w:sz w:val="32"/>
          <w:szCs w:val="32"/>
          <w:lang w:val="en-US" w:eastAsia="zh-CN"/>
        </w:rPr>
        <w:t>高质量编制石峁遗址保护利用规划，系统梳理并深度提炼石峁文化内涵，打造中华文明寻根探源文化品牌。成立石峁文化学术委员会，举办石峁国际论坛，挖掘石峁在世界文明进程中的历史意义和炎黄文化“中华文明前夜”考古资源价值。设立石峁遗址保护利用基金，建设石峁数字展示中心、石峁文化艺术中心和石峁国家考古遗址公园，打造我国世界级文化旅游目的地重要支点。搭建石峁文化国际国内输出平台，着眼石峁遗址的展示利用，大力发展以石峁文化为核心的文化创意产业，培育一批有影响力的文化创意品牌和产品，积极主动参与黄河文化海外推广工程，全方位宣传展示石峁遗址文化价值和历史意义，不断提升国际国内知名度和影响力。争取到2025年，石峁遗址列入世界文化遗产名录。</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78" w:name="_Toc13291"/>
      <w:bookmarkStart w:id="79" w:name="_Toc9817"/>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三</w:t>
      </w:r>
      <w:r>
        <w:rPr>
          <w:rFonts w:hint="eastAsia" w:ascii="楷体_GB2312" w:hAnsi="楷体_GB2312" w:eastAsia="楷体_GB2312" w:cs="楷体_GB2312"/>
          <w:bCs/>
          <w:sz w:val="32"/>
          <w:szCs w:val="32"/>
        </w:rPr>
        <w:t xml:space="preserve">节 </w:t>
      </w:r>
      <w:r>
        <w:rPr>
          <w:rFonts w:hint="eastAsia" w:ascii="楷体_GB2312" w:hAnsi="楷体_GB2312" w:eastAsia="楷体_GB2312" w:cs="楷体_GB2312"/>
          <w:bCs/>
          <w:sz w:val="32"/>
          <w:szCs w:val="32"/>
          <w:lang w:eastAsia="zh-CN"/>
        </w:rPr>
        <w:t>建设杨家城国家文化遗址公园</w:t>
      </w:r>
      <w:bookmarkEnd w:id="78"/>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eastAsia" w:cs="Times New Roman"/>
          <w:kern w:val="2"/>
          <w:sz w:val="32"/>
          <w:szCs w:val="32"/>
          <w:lang w:val="en-US" w:eastAsia="zh-CN"/>
        </w:rPr>
      </w:pPr>
      <w:r>
        <w:rPr>
          <w:rFonts w:hint="eastAsia" w:cs="Times New Roman"/>
          <w:kern w:val="2"/>
          <w:sz w:val="32"/>
          <w:szCs w:val="32"/>
          <w:lang w:val="en-US" w:eastAsia="zh-CN"/>
        </w:rPr>
        <w:t>依托杨家城遗址，充分挖掘杨家将文化珍贵的历史内涵，全面围绕“全国著名文化旅游目的地，杨家将忠勇爱国精神的教育基地，杨氏后裔寻根祭祖的朝圣地”三大目标定位，高标准完善杨家城景区旅游服务设施。加强考古发掘保护利用，梳理麟州历史文脉，创新展示杨家将文化成果，建设杨家城国家文化遗址公园，打造“忠勇麟州、英雄故里”文化旅游地标。</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80" w:name="_Toc30249"/>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四</w:t>
      </w:r>
      <w:r>
        <w:rPr>
          <w:rFonts w:hint="eastAsia" w:ascii="楷体_GB2312" w:hAnsi="楷体_GB2312" w:eastAsia="楷体_GB2312" w:cs="楷体_GB2312"/>
          <w:bCs/>
          <w:sz w:val="32"/>
          <w:szCs w:val="32"/>
        </w:rPr>
        <w:t>节 扩大长城、黄河文化影响</w:t>
      </w:r>
      <w:bookmarkEnd w:id="79"/>
      <w:bookmarkEnd w:id="80"/>
    </w:p>
    <w:p>
      <w:pPr>
        <w:pStyle w:val="10"/>
        <w:keepNext w:val="0"/>
        <w:keepLines w:val="0"/>
        <w:pageBreakBefore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shd w:val="clear" w:color="auto" w:fill="FFFFFF"/>
        </w:rPr>
      </w:pPr>
      <w:r>
        <w:rPr>
          <w:rFonts w:cs="Times New Roman"/>
          <w:b/>
          <w:bCs/>
          <w:kern w:val="2"/>
          <w:sz w:val="32"/>
          <w:szCs w:val="32"/>
        </w:rPr>
        <w:t>实施长城文化保护工程。</w:t>
      </w:r>
      <w:r>
        <w:rPr>
          <w:rFonts w:hint="eastAsia" w:cs="Times New Roman"/>
          <w:kern w:val="2"/>
          <w:sz w:val="32"/>
          <w:szCs w:val="32"/>
          <w:lang w:val="en-US" w:eastAsia="zh-CN"/>
        </w:rPr>
        <w:t>发挥高家堡历史文化名镇作用，打造</w:t>
      </w:r>
      <w:r>
        <w:rPr>
          <w:rFonts w:hint="eastAsia" w:cs="Times New Roman"/>
          <w:sz w:val="32"/>
          <w:szCs w:val="32"/>
          <w:shd w:val="clear" w:color="auto" w:fill="FFFFFF"/>
        </w:rPr>
        <w:t>长城酒镇</w:t>
      </w:r>
      <w:r>
        <w:rPr>
          <w:rFonts w:hint="eastAsia" w:cs="Times New Roman"/>
          <w:sz w:val="32"/>
          <w:szCs w:val="32"/>
          <w:shd w:val="clear" w:color="auto" w:fill="FFFFFF"/>
          <w:lang w:eastAsia="zh-CN"/>
        </w:rPr>
        <w:t>、</w:t>
      </w:r>
      <w:r>
        <w:rPr>
          <w:rFonts w:hint="eastAsia" w:cs="Times New Roman"/>
          <w:sz w:val="32"/>
          <w:szCs w:val="32"/>
          <w:shd w:val="clear" w:color="auto" w:fill="FFFFFF"/>
        </w:rPr>
        <w:t>黄河人家</w:t>
      </w:r>
      <w:r>
        <w:rPr>
          <w:rFonts w:hint="eastAsia" w:cs="Times New Roman"/>
          <w:sz w:val="32"/>
          <w:szCs w:val="32"/>
          <w:shd w:val="clear" w:color="auto" w:fill="FFFFFF"/>
          <w:lang w:val="en-US" w:eastAsia="zh-CN"/>
        </w:rPr>
        <w:t>塞上旅游目的地。</w:t>
      </w:r>
      <w:r>
        <w:rPr>
          <w:rFonts w:cs="Times New Roman"/>
          <w:kern w:val="2"/>
          <w:sz w:val="32"/>
          <w:szCs w:val="32"/>
        </w:rPr>
        <w:t>以</w:t>
      </w:r>
      <w:r>
        <w:rPr>
          <w:rFonts w:hint="eastAsia" w:cs="Times New Roman"/>
          <w:kern w:val="2"/>
          <w:sz w:val="32"/>
          <w:szCs w:val="32"/>
          <w:lang w:eastAsia="zh-CN"/>
        </w:rPr>
        <w:t>高家堡、</w:t>
      </w:r>
      <w:r>
        <w:rPr>
          <w:rFonts w:cs="Times New Roman"/>
          <w:kern w:val="2"/>
          <w:sz w:val="32"/>
          <w:szCs w:val="32"/>
        </w:rPr>
        <w:t>柏林堡、卧虎寨</w:t>
      </w:r>
      <w:r>
        <w:rPr>
          <w:rFonts w:hint="eastAsia" w:cs="Times New Roman"/>
          <w:kern w:val="2"/>
          <w:sz w:val="32"/>
          <w:szCs w:val="32"/>
          <w:lang w:eastAsia="zh-CN"/>
        </w:rPr>
        <w:t>、三台界</w:t>
      </w:r>
      <w:r>
        <w:rPr>
          <w:rFonts w:cs="Times New Roman"/>
          <w:kern w:val="2"/>
          <w:sz w:val="32"/>
          <w:szCs w:val="32"/>
        </w:rPr>
        <w:t>为中心，</w:t>
      </w:r>
      <w:r>
        <w:rPr>
          <w:rFonts w:hint="eastAsia" w:cs="Times New Roman"/>
          <w:kern w:val="2"/>
          <w:sz w:val="32"/>
          <w:szCs w:val="32"/>
        </w:rPr>
        <w:t>支持</w:t>
      </w:r>
      <w:r>
        <w:rPr>
          <w:rFonts w:cs="Times New Roman"/>
          <w:kern w:val="2"/>
          <w:sz w:val="32"/>
          <w:szCs w:val="32"/>
        </w:rPr>
        <w:t>长城文物本体</w:t>
      </w:r>
      <w:r>
        <w:rPr>
          <w:rFonts w:hint="eastAsia" w:cs="Times New Roman"/>
          <w:kern w:val="2"/>
          <w:sz w:val="32"/>
          <w:szCs w:val="32"/>
        </w:rPr>
        <w:t>保护，</w:t>
      </w:r>
      <w:r>
        <w:rPr>
          <w:rFonts w:cs="Times New Roman"/>
          <w:kern w:val="2"/>
          <w:sz w:val="32"/>
          <w:szCs w:val="32"/>
        </w:rPr>
        <w:t>开展</w:t>
      </w:r>
      <w:r>
        <w:rPr>
          <w:rFonts w:hint="eastAsia" w:cs="Times New Roman"/>
          <w:kern w:val="2"/>
          <w:sz w:val="32"/>
          <w:szCs w:val="32"/>
        </w:rPr>
        <w:t>长城</w:t>
      </w:r>
      <w:r>
        <w:rPr>
          <w:rFonts w:cs="Times New Roman"/>
          <w:kern w:val="2"/>
          <w:sz w:val="32"/>
          <w:szCs w:val="32"/>
        </w:rPr>
        <w:t>周边环境风貌抢救</w:t>
      </w:r>
      <w:r>
        <w:rPr>
          <w:rFonts w:hint="eastAsia" w:cs="Times New Roman"/>
          <w:kern w:val="2"/>
          <w:sz w:val="32"/>
          <w:szCs w:val="32"/>
        </w:rPr>
        <w:t>性</w:t>
      </w:r>
      <w:r>
        <w:rPr>
          <w:rFonts w:cs="Times New Roman"/>
          <w:kern w:val="2"/>
          <w:sz w:val="32"/>
          <w:szCs w:val="32"/>
        </w:rPr>
        <w:t>保护</w:t>
      </w:r>
      <w:r>
        <w:rPr>
          <w:rFonts w:hint="eastAsia" w:cs="Times New Roman"/>
          <w:kern w:val="2"/>
          <w:sz w:val="32"/>
          <w:szCs w:val="32"/>
        </w:rPr>
        <w:t>，</w:t>
      </w:r>
      <w:r>
        <w:rPr>
          <w:rFonts w:cs="Times New Roman"/>
          <w:kern w:val="2"/>
          <w:sz w:val="32"/>
          <w:szCs w:val="32"/>
        </w:rPr>
        <w:t>建设长城文化公园，打造长城文化体验基地。串联整合全市最美长城点的公路、山峦小</w:t>
      </w:r>
      <w:r>
        <w:rPr>
          <w:rFonts w:cs="Times New Roman"/>
          <w:sz w:val="32"/>
          <w:szCs w:val="32"/>
          <w:shd w:val="clear" w:color="auto" w:fill="FFFFFF"/>
        </w:rPr>
        <w:t>径，结合本地旅游景点打造“</w:t>
      </w:r>
      <w:r>
        <w:rPr>
          <w:rFonts w:hint="eastAsia" w:cs="Times New Roman"/>
          <w:sz w:val="32"/>
          <w:szCs w:val="32"/>
          <w:shd w:val="clear" w:color="auto" w:fill="FFFFFF"/>
          <w:lang w:val="en-US" w:eastAsia="zh-CN"/>
        </w:rPr>
        <w:t>陕北</w:t>
      </w:r>
      <w:r>
        <w:rPr>
          <w:rFonts w:cs="Times New Roman"/>
          <w:sz w:val="32"/>
          <w:szCs w:val="32"/>
          <w:shd w:val="clear" w:color="auto" w:fill="FFFFFF"/>
        </w:rPr>
        <w:t>长城文化体验之旅”线路，推动“长城文化保护带”向“长城保护与文旅产业展示带”转型。</w:t>
      </w:r>
    </w:p>
    <w:p>
      <w:pPr>
        <w:pStyle w:val="10"/>
        <w:ind w:firstLine="640"/>
        <w:jc w:val="both"/>
        <w:rPr>
          <w:rFonts w:ascii="Times New Roman" w:hAnsi="Times New Roman" w:cs="Times New Roman"/>
          <w:kern w:val="2"/>
          <w:sz w:val="32"/>
          <w:szCs w:val="32"/>
        </w:rPr>
      </w:pPr>
      <w:r>
        <w:rPr>
          <w:rFonts w:ascii="Times New Roman" w:hAnsi="Times New Roman" w:cs="Times New Roman"/>
          <w:b/>
          <w:bCs/>
          <w:kern w:val="2"/>
          <w:sz w:val="32"/>
          <w:szCs w:val="32"/>
        </w:rPr>
        <w:t>挖掘黄河文化时代价值。</w:t>
      </w:r>
      <w:r>
        <w:rPr>
          <w:rFonts w:hint="eastAsia" w:ascii="Times New Roman" w:hAnsi="Times New Roman" w:cs="Times New Roman"/>
          <w:kern w:val="2"/>
          <w:sz w:val="32"/>
          <w:szCs w:val="32"/>
        </w:rPr>
        <w:t>抢抓黄河流域生态保护和高质量发展战略机遇</w:t>
      </w:r>
      <w:r>
        <w:rPr>
          <w:rFonts w:ascii="Times New Roman" w:hAnsi="Times New Roman" w:cs="Times New Roman"/>
          <w:kern w:val="2"/>
          <w:sz w:val="32"/>
          <w:szCs w:val="32"/>
        </w:rPr>
        <w:t>，</w:t>
      </w:r>
      <w:r>
        <w:rPr>
          <w:rFonts w:hint="eastAsia" w:cs="Times New Roman"/>
          <w:sz w:val="32"/>
          <w:szCs w:val="32"/>
          <w:lang w:eastAsia="zh-CN"/>
        </w:rPr>
        <w:t>争取国家层面支持，协同打造黄河国家文化公园，带动沿黄文化旅游带建设。</w:t>
      </w:r>
      <w:r>
        <w:rPr>
          <w:rFonts w:hint="eastAsia" w:ascii="Times New Roman" w:hAnsi="Times New Roman" w:cs="Times New Roman"/>
          <w:kern w:val="2"/>
          <w:sz w:val="32"/>
          <w:szCs w:val="32"/>
        </w:rPr>
        <w:t>结合</w:t>
      </w:r>
      <w:r>
        <w:rPr>
          <w:rFonts w:ascii="Times New Roman" w:hAnsi="Times New Roman" w:cs="Times New Roman"/>
          <w:kern w:val="2"/>
          <w:sz w:val="32"/>
          <w:szCs w:val="32"/>
        </w:rPr>
        <w:t>乡村振兴</w:t>
      </w:r>
      <w:r>
        <w:rPr>
          <w:rFonts w:hint="eastAsia" w:ascii="Times New Roman" w:hAnsi="Times New Roman" w:cs="Times New Roman"/>
          <w:kern w:val="2"/>
          <w:sz w:val="32"/>
          <w:szCs w:val="32"/>
        </w:rPr>
        <w:t>，以天台山、黄河大峡谷等景区为核心，</w:t>
      </w:r>
      <w:r>
        <w:rPr>
          <w:rFonts w:ascii="Times New Roman" w:hAnsi="Times New Roman" w:cs="Times New Roman"/>
          <w:kern w:val="2"/>
          <w:sz w:val="32"/>
          <w:szCs w:val="32"/>
        </w:rPr>
        <w:t>依托黄河岸滩、万亩枣林、陕北窑洞等特色文化资源，</w:t>
      </w:r>
      <w:r>
        <w:rPr>
          <w:rFonts w:hint="eastAsia" w:ascii="Times New Roman" w:hAnsi="Times New Roman" w:cs="Times New Roman"/>
          <w:kern w:val="2"/>
          <w:sz w:val="32"/>
          <w:szCs w:val="32"/>
        </w:rPr>
        <w:t>进一步</w:t>
      </w:r>
      <w:r>
        <w:rPr>
          <w:rFonts w:ascii="Times New Roman" w:hAnsi="Times New Roman" w:cs="Times New Roman"/>
          <w:kern w:val="2"/>
          <w:sz w:val="32"/>
          <w:szCs w:val="32"/>
        </w:rPr>
        <w:t>完善</w:t>
      </w:r>
      <w:r>
        <w:rPr>
          <w:rFonts w:hint="eastAsia" w:ascii="Times New Roman" w:hAnsi="Times New Roman" w:cs="Times New Roman"/>
          <w:kern w:val="2"/>
          <w:sz w:val="32"/>
          <w:szCs w:val="32"/>
        </w:rPr>
        <w:t>景区</w:t>
      </w:r>
      <w:r>
        <w:rPr>
          <w:rFonts w:ascii="Times New Roman" w:hAnsi="Times New Roman" w:cs="Times New Roman"/>
          <w:kern w:val="2"/>
          <w:sz w:val="32"/>
          <w:szCs w:val="32"/>
        </w:rPr>
        <w:t>基础设施</w:t>
      </w:r>
      <w:r>
        <w:rPr>
          <w:rFonts w:hint="eastAsia" w:ascii="Times New Roman" w:hAnsi="Times New Roman" w:cs="Times New Roman"/>
          <w:kern w:val="2"/>
          <w:sz w:val="32"/>
          <w:szCs w:val="32"/>
        </w:rPr>
        <w:t>，</w:t>
      </w:r>
      <w:r>
        <w:rPr>
          <w:rFonts w:ascii="Times New Roman" w:hAnsi="Times New Roman" w:cs="Times New Roman"/>
          <w:kern w:val="2"/>
          <w:sz w:val="32"/>
          <w:szCs w:val="32"/>
        </w:rPr>
        <w:t>增加高品质黄河旅游服务供给。以沿黄公路为纽带，连接西津寺、天台山、凤凰山</w:t>
      </w:r>
      <w:r>
        <w:rPr>
          <w:rFonts w:hint="eastAsia" w:ascii="Times New Roman" w:hAnsi="Times New Roman" w:cs="Times New Roman"/>
          <w:kern w:val="2"/>
          <w:sz w:val="32"/>
          <w:szCs w:val="32"/>
          <w:lang w:eastAsia="zh-CN"/>
        </w:rPr>
        <w:t>、</w:t>
      </w:r>
      <w:r>
        <w:rPr>
          <w:rFonts w:hint="eastAsia" w:ascii="仿宋" w:hAnsi="仿宋" w:eastAsia="仿宋" w:cs="仿宋"/>
          <w:color w:val="auto"/>
          <w:sz w:val="32"/>
          <w:szCs w:val="40"/>
          <w:lang w:val="en-US" w:eastAsia="zh-CN"/>
        </w:rPr>
        <w:t>沙峁头景区</w:t>
      </w:r>
      <w:r>
        <w:rPr>
          <w:rFonts w:ascii="Times New Roman" w:hAnsi="Times New Roman" w:cs="Times New Roman"/>
          <w:kern w:val="2"/>
          <w:sz w:val="32"/>
          <w:szCs w:val="32"/>
        </w:rPr>
        <w:t>等名山胜景</w:t>
      </w:r>
      <w:r>
        <w:rPr>
          <w:rFonts w:hint="eastAsia" w:ascii="Times New Roman" w:hAnsi="Times New Roman" w:cs="Times New Roman"/>
          <w:kern w:val="2"/>
          <w:sz w:val="32"/>
          <w:szCs w:val="32"/>
        </w:rPr>
        <w:t>和</w:t>
      </w:r>
      <w:r>
        <w:rPr>
          <w:rFonts w:ascii="Times New Roman" w:hAnsi="Times New Roman" w:cs="Times New Roman"/>
          <w:kern w:val="2"/>
          <w:sz w:val="32"/>
          <w:szCs w:val="32"/>
        </w:rPr>
        <w:t>革命遗址，开展黄河文化体验系列活动，发展黄河风情体验游、革命红色游、绿色生态游，融入“大黄河”旅游产业发展格局。</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81" w:name="_Toc24625"/>
      <w:bookmarkStart w:id="82" w:name="_Toc12543"/>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五</w:t>
      </w:r>
      <w:r>
        <w:rPr>
          <w:rFonts w:hint="eastAsia" w:ascii="楷体_GB2312" w:hAnsi="楷体_GB2312" w:eastAsia="楷体_GB2312" w:cs="楷体_GB2312"/>
          <w:bCs/>
          <w:sz w:val="32"/>
          <w:szCs w:val="32"/>
        </w:rPr>
        <w:t>节 打造现代工业旅游城市</w:t>
      </w:r>
      <w:bookmarkEnd w:id="81"/>
      <w:bookmarkEnd w:id="82"/>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rPr>
      </w:pPr>
      <w:r>
        <w:rPr>
          <w:rFonts w:cs="Times New Roman"/>
          <w:kern w:val="2"/>
          <w:sz w:val="32"/>
          <w:szCs w:val="32"/>
        </w:rPr>
        <w:t>充分挖掘</w:t>
      </w:r>
      <w:r>
        <w:rPr>
          <w:rFonts w:hint="eastAsia" w:cs="Times New Roman"/>
          <w:kern w:val="2"/>
          <w:sz w:val="32"/>
          <w:szCs w:val="32"/>
          <w:lang w:val="en-US" w:eastAsia="zh-CN"/>
        </w:rPr>
        <w:t>神木</w:t>
      </w:r>
      <w:r>
        <w:rPr>
          <w:rFonts w:cs="Times New Roman"/>
          <w:kern w:val="2"/>
          <w:sz w:val="32"/>
          <w:szCs w:val="32"/>
        </w:rPr>
        <w:t>煤炭文化精髓，利用大柳塔工业资源和区位优势</w:t>
      </w:r>
      <w:r>
        <w:rPr>
          <w:rFonts w:hint="eastAsia" w:cs="Times New Roman"/>
          <w:kern w:val="2"/>
          <w:sz w:val="32"/>
          <w:szCs w:val="32"/>
        </w:rPr>
        <w:t>，</w:t>
      </w:r>
      <w:r>
        <w:rPr>
          <w:rFonts w:cs="Times New Roman"/>
          <w:kern w:val="2"/>
          <w:sz w:val="32"/>
          <w:szCs w:val="32"/>
        </w:rPr>
        <w:t>建设大柳塔煤炭地质公园</w:t>
      </w:r>
      <w:r>
        <w:rPr>
          <w:rFonts w:hint="eastAsia" w:cs="Times New Roman"/>
          <w:kern w:val="2"/>
          <w:sz w:val="32"/>
          <w:szCs w:val="32"/>
        </w:rPr>
        <w:t>、</w:t>
      </w:r>
      <w:r>
        <w:rPr>
          <w:rFonts w:cs="Times New Roman"/>
          <w:kern w:val="2"/>
          <w:sz w:val="32"/>
          <w:szCs w:val="32"/>
        </w:rPr>
        <w:t>煤炭博物馆</w:t>
      </w:r>
      <w:r>
        <w:rPr>
          <w:rFonts w:hint="eastAsia" w:cs="Times New Roman"/>
          <w:kern w:val="2"/>
          <w:sz w:val="32"/>
          <w:szCs w:val="32"/>
        </w:rPr>
        <w:t>，</w:t>
      </w:r>
      <w:r>
        <w:rPr>
          <w:rFonts w:cs="Times New Roman"/>
          <w:kern w:val="2"/>
          <w:sz w:val="32"/>
          <w:szCs w:val="32"/>
        </w:rPr>
        <w:t>梯次展示煤炭形成史、神府煤田开发史及煤炭科技创新、矿区生态治理、现代煤化工技术工艺</w:t>
      </w:r>
      <w:r>
        <w:rPr>
          <w:rFonts w:hint="eastAsia" w:cs="Times New Roman"/>
          <w:kern w:val="2"/>
          <w:sz w:val="32"/>
          <w:szCs w:val="32"/>
        </w:rPr>
        <w:t>等</w:t>
      </w:r>
      <w:r>
        <w:rPr>
          <w:rFonts w:cs="Times New Roman"/>
          <w:kern w:val="2"/>
          <w:sz w:val="32"/>
          <w:szCs w:val="32"/>
        </w:rPr>
        <w:t>，配套</w:t>
      </w:r>
      <w:r>
        <w:rPr>
          <w:rFonts w:hint="eastAsia" w:cs="Times New Roman"/>
          <w:kern w:val="2"/>
          <w:sz w:val="32"/>
          <w:szCs w:val="32"/>
        </w:rPr>
        <w:t>布局</w:t>
      </w:r>
      <w:r>
        <w:rPr>
          <w:rFonts w:cs="Times New Roman"/>
          <w:kern w:val="2"/>
          <w:sz w:val="32"/>
          <w:szCs w:val="32"/>
        </w:rPr>
        <w:t>煤炭采掘体验、娱乐服务项目</w:t>
      </w:r>
      <w:r>
        <w:rPr>
          <w:rFonts w:hint="eastAsia" w:cs="Times New Roman"/>
          <w:kern w:val="2"/>
          <w:sz w:val="32"/>
          <w:szCs w:val="32"/>
        </w:rPr>
        <w:t>，打</w:t>
      </w:r>
      <w:r>
        <w:rPr>
          <w:rFonts w:cs="Times New Roman"/>
          <w:kern w:val="2"/>
          <w:sz w:val="32"/>
          <w:szCs w:val="32"/>
        </w:rPr>
        <w:t>造世界级“煤炭工业展示平台”“煤炭旅游产品”</w:t>
      </w:r>
      <w:r>
        <w:rPr>
          <w:rFonts w:hint="eastAsia" w:cs="Times New Roman"/>
          <w:kern w:val="2"/>
          <w:sz w:val="32"/>
          <w:szCs w:val="32"/>
        </w:rPr>
        <w:t>和</w:t>
      </w:r>
      <w:r>
        <w:rPr>
          <w:rFonts w:cs="Times New Roman"/>
          <w:kern w:val="2"/>
          <w:sz w:val="32"/>
          <w:szCs w:val="32"/>
        </w:rPr>
        <w:t>“工业版迪斯尼”，扩大工业文旅品牌价值和影响力。</w:t>
      </w:r>
    </w:p>
    <w:p>
      <w:pPr>
        <w:pStyle w:val="44"/>
        <w:adjustRightInd/>
        <w:snapToGrid/>
        <w:spacing w:before="156" w:beforeLines="50" w:after="156" w:afterLines="50"/>
        <w:ind w:firstLine="0" w:firstLineChars="0"/>
        <w:jc w:val="center"/>
        <w:outlineLvl w:val="1"/>
        <w:rPr>
          <w:rFonts w:hint="default" w:ascii="楷体_GB2312" w:hAnsi="楷体_GB2312" w:eastAsia="楷体_GB2312" w:cs="楷体_GB2312"/>
          <w:bCs/>
          <w:sz w:val="32"/>
          <w:szCs w:val="32"/>
          <w:lang w:val="en-US" w:eastAsia="zh-CN"/>
        </w:rPr>
      </w:pPr>
      <w:bookmarkStart w:id="83" w:name="_Toc4397"/>
      <w:bookmarkStart w:id="84" w:name="_Toc32057"/>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六</w:t>
      </w:r>
      <w:r>
        <w:rPr>
          <w:rFonts w:hint="eastAsia" w:ascii="楷体_GB2312" w:hAnsi="楷体_GB2312" w:eastAsia="楷体_GB2312" w:cs="楷体_GB2312"/>
          <w:bCs/>
          <w:sz w:val="32"/>
          <w:szCs w:val="32"/>
        </w:rPr>
        <w:t xml:space="preserve">节 </w:t>
      </w:r>
      <w:bookmarkEnd w:id="83"/>
      <w:r>
        <w:rPr>
          <w:rFonts w:hint="eastAsia" w:ascii="楷体_GB2312" w:hAnsi="楷体_GB2312" w:eastAsia="楷体_GB2312" w:cs="楷体_GB2312"/>
          <w:bCs/>
          <w:sz w:val="32"/>
          <w:szCs w:val="32"/>
          <w:lang w:val="en-US" w:eastAsia="zh-CN"/>
        </w:rPr>
        <w:t>创建国家全域旅游示范市</w:t>
      </w:r>
      <w:bookmarkEnd w:id="84"/>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cs="Times New Roman"/>
          <w:kern w:val="2"/>
          <w:sz w:val="32"/>
          <w:szCs w:val="32"/>
        </w:rPr>
      </w:pPr>
      <w:r>
        <w:rPr>
          <w:rFonts w:cs="Times New Roman"/>
          <w:kern w:val="2"/>
          <w:sz w:val="32"/>
          <w:szCs w:val="32"/>
        </w:rPr>
        <w:t>优化文化旅游空间布局，</w:t>
      </w:r>
      <w:r>
        <w:rPr>
          <w:rFonts w:hint="eastAsia" w:cs="Times New Roman"/>
          <w:kern w:val="2"/>
          <w:sz w:val="32"/>
          <w:szCs w:val="32"/>
          <w:lang w:eastAsia="zh-CN"/>
        </w:rPr>
        <w:t>高标准规划</w:t>
      </w:r>
      <w:r>
        <w:rPr>
          <w:rFonts w:cs="Times New Roman"/>
          <w:kern w:val="2"/>
          <w:sz w:val="32"/>
          <w:szCs w:val="32"/>
        </w:rPr>
        <w:t>“一山二水三城”核心景区建设</w:t>
      </w:r>
      <w:r>
        <w:rPr>
          <w:rFonts w:hint="eastAsia" w:cs="Times New Roman"/>
          <w:kern w:val="2"/>
          <w:sz w:val="32"/>
          <w:szCs w:val="32"/>
          <w:lang w:eastAsia="zh-CN"/>
        </w:rPr>
        <w:t>方案</w:t>
      </w:r>
      <w:r>
        <w:rPr>
          <w:rFonts w:cs="Times New Roman"/>
          <w:kern w:val="2"/>
          <w:sz w:val="32"/>
          <w:szCs w:val="32"/>
        </w:rPr>
        <w:t>，</w:t>
      </w:r>
      <w:r>
        <w:rPr>
          <w:rFonts w:cs="Times New Roman"/>
          <w:sz w:val="32"/>
          <w:szCs w:val="32"/>
        </w:rPr>
        <w:t>构建全景打造、共建共享的旅游格局</w:t>
      </w:r>
      <w:r>
        <w:rPr>
          <w:rFonts w:hint="eastAsia" w:cs="Times New Roman"/>
          <w:sz w:val="32"/>
          <w:szCs w:val="32"/>
          <w:lang w:eastAsia="zh-CN"/>
        </w:rPr>
        <w:t>，创建全域旅游示范市</w:t>
      </w:r>
      <w:r>
        <w:rPr>
          <w:rFonts w:cs="Times New Roman"/>
          <w:sz w:val="32"/>
          <w:szCs w:val="32"/>
        </w:rPr>
        <w:t>。</w:t>
      </w:r>
      <w:r>
        <w:rPr>
          <w:rFonts w:cs="Times New Roman"/>
          <w:kern w:val="2"/>
          <w:sz w:val="32"/>
          <w:szCs w:val="32"/>
        </w:rPr>
        <w:t>突出红碱淖景区龙头地位，挖掘万亩草原、特色农业文旅资源潜力，开发观光体验</w:t>
      </w:r>
      <w:r>
        <w:rPr>
          <w:rFonts w:hint="eastAsia" w:cs="Times New Roman"/>
          <w:kern w:val="2"/>
          <w:sz w:val="32"/>
          <w:szCs w:val="32"/>
        </w:rPr>
        <w:t>等</w:t>
      </w:r>
      <w:r>
        <w:rPr>
          <w:rFonts w:cs="Times New Roman"/>
          <w:kern w:val="2"/>
          <w:sz w:val="32"/>
          <w:szCs w:val="32"/>
        </w:rPr>
        <w:t>项目，打造红碱淖旅游度假区。</w:t>
      </w:r>
      <w:r>
        <w:rPr>
          <w:rFonts w:hint="eastAsia" w:cs="Times New Roman"/>
          <w:b w:val="0"/>
          <w:i w:val="0"/>
          <w:caps w:val="0"/>
          <w:color w:val="000000"/>
          <w:spacing w:val="0"/>
          <w:sz w:val="32"/>
          <w:szCs w:val="32"/>
          <w:shd w:val="clear" w:color="auto" w:fill="FFFFFF"/>
          <w:lang w:val="en-US" w:eastAsia="zh-CN"/>
        </w:rPr>
        <w:t>坚持“一镇一特、一村一品”，推进高家堡现代农商文旅田园等特色小镇建设。立足乡村地域特色，通过创新性、差异化发展，重点打造纳林采当、菜园沟等特色文旅村庄。支持碧麟湾、大观园等近郊景区、农业示范园完善文旅配套基础设施，丰富市域旅游业态。</w:t>
      </w:r>
      <w:r>
        <w:rPr>
          <w:rFonts w:hint="eastAsia" w:ascii="Times New Roman" w:hAnsi="Times New Roman" w:eastAsia="仿宋_GB2312" w:cs="Times New Roman"/>
          <w:b w:val="0"/>
          <w:i w:val="0"/>
          <w:caps w:val="0"/>
          <w:color w:val="000000"/>
          <w:spacing w:val="0"/>
          <w:sz w:val="32"/>
          <w:szCs w:val="32"/>
          <w:shd w:val="clear" w:color="auto" w:fill="FFFFFF"/>
          <w:lang w:val="en-US" w:eastAsia="zh-CN"/>
        </w:rPr>
        <w:t>支持</w:t>
      </w:r>
      <w:r>
        <w:rPr>
          <w:rFonts w:hint="eastAsia" w:cs="Times New Roman"/>
          <w:b w:val="0"/>
          <w:i w:val="0"/>
          <w:caps w:val="0"/>
          <w:color w:val="000000"/>
          <w:spacing w:val="0"/>
          <w:sz w:val="32"/>
          <w:szCs w:val="32"/>
          <w:shd w:val="clear" w:color="auto" w:fill="FFFFFF"/>
          <w:lang w:val="en-US" w:eastAsia="zh-CN"/>
        </w:rPr>
        <w:t>石峁、</w:t>
      </w:r>
      <w:r>
        <w:rPr>
          <w:rFonts w:hint="eastAsia" w:ascii="Times New Roman" w:hAnsi="Times New Roman" w:eastAsia="仿宋_GB2312" w:cs="Times New Roman"/>
          <w:b w:val="0"/>
          <w:i w:val="0"/>
          <w:caps w:val="0"/>
          <w:color w:val="000000"/>
          <w:spacing w:val="0"/>
          <w:sz w:val="32"/>
          <w:szCs w:val="32"/>
          <w:shd w:val="clear" w:color="auto" w:fill="FFFFFF"/>
          <w:lang w:val="en-US" w:eastAsia="zh-CN"/>
        </w:rPr>
        <w:t>博物馆、纪念馆进入文化旅游线路，开通公共文化场所研学游、科技游、亲子游等各种服务或产品。</w:t>
      </w:r>
      <w:r>
        <w:rPr>
          <w:rFonts w:cs="Times New Roman"/>
          <w:kern w:val="2"/>
          <w:sz w:val="32"/>
          <w:szCs w:val="32"/>
        </w:rPr>
        <w:t>到2025年，建成石峁（高家堡）</w:t>
      </w:r>
      <w:r>
        <w:rPr>
          <w:rFonts w:hint="eastAsia" w:cs="Times New Roman"/>
          <w:kern w:val="2"/>
          <w:sz w:val="32"/>
          <w:szCs w:val="32"/>
          <w:lang w:val="en-US" w:eastAsia="zh-CN"/>
        </w:rPr>
        <w:t>5</w:t>
      </w:r>
      <w:r>
        <w:rPr>
          <w:rFonts w:hint="eastAsia" w:cs="Times New Roman"/>
          <w:kern w:val="2"/>
          <w:sz w:val="32"/>
          <w:szCs w:val="32"/>
        </w:rPr>
        <w:t>A</w:t>
      </w:r>
      <w:r>
        <w:rPr>
          <w:rFonts w:hint="eastAsia" w:cs="Times New Roman"/>
          <w:kern w:val="2"/>
          <w:sz w:val="32"/>
          <w:szCs w:val="32"/>
          <w:lang w:val="en-US" w:eastAsia="zh-CN"/>
        </w:rPr>
        <w:t>级、</w:t>
      </w:r>
      <w:r>
        <w:rPr>
          <w:rFonts w:cs="Times New Roman"/>
          <w:kern w:val="2"/>
          <w:sz w:val="32"/>
          <w:szCs w:val="32"/>
        </w:rPr>
        <w:t>杨家城</w:t>
      </w:r>
      <w:r>
        <w:rPr>
          <w:rFonts w:hint="eastAsia" w:cs="Times New Roman"/>
          <w:kern w:val="2"/>
          <w:sz w:val="32"/>
          <w:szCs w:val="32"/>
          <w:lang w:val="en-US" w:eastAsia="zh-CN"/>
        </w:rPr>
        <w:t>4</w:t>
      </w:r>
      <w:r>
        <w:rPr>
          <w:rFonts w:hint="eastAsia" w:cs="Times New Roman"/>
          <w:kern w:val="2"/>
          <w:sz w:val="32"/>
          <w:szCs w:val="32"/>
        </w:rPr>
        <w:t>A级</w:t>
      </w:r>
      <w:r>
        <w:rPr>
          <w:rFonts w:cs="Times New Roman"/>
          <w:kern w:val="2"/>
          <w:sz w:val="32"/>
          <w:szCs w:val="32"/>
        </w:rPr>
        <w:t>景区，神木古城、黄河大峡谷等</w:t>
      </w:r>
      <w:r>
        <w:rPr>
          <w:rFonts w:hint="eastAsia" w:cs="Times New Roman"/>
          <w:kern w:val="2"/>
          <w:sz w:val="32"/>
          <w:szCs w:val="32"/>
        </w:rPr>
        <w:t>2个</w:t>
      </w:r>
      <w:r>
        <w:rPr>
          <w:rFonts w:cs="Times New Roman"/>
          <w:kern w:val="2"/>
          <w:sz w:val="32"/>
          <w:szCs w:val="32"/>
        </w:rPr>
        <w:t>国家</w:t>
      </w:r>
      <w:r>
        <w:rPr>
          <w:rFonts w:hint="eastAsia" w:cs="Times New Roman"/>
          <w:kern w:val="2"/>
          <w:sz w:val="32"/>
          <w:szCs w:val="32"/>
        </w:rPr>
        <w:t>级</w:t>
      </w:r>
      <w:r>
        <w:rPr>
          <w:rFonts w:hint="eastAsia" w:cs="Times New Roman"/>
          <w:kern w:val="2"/>
          <w:sz w:val="32"/>
          <w:szCs w:val="32"/>
          <w:lang w:val="en-US" w:eastAsia="zh-CN"/>
        </w:rPr>
        <w:t>3</w:t>
      </w:r>
      <w:r>
        <w:rPr>
          <w:rFonts w:hint="eastAsia" w:cs="Times New Roman"/>
          <w:kern w:val="2"/>
          <w:sz w:val="32"/>
          <w:szCs w:val="32"/>
        </w:rPr>
        <w:t>A</w:t>
      </w:r>
      <w:r>
        <w:rPr>
          <w:rFonts w:hint="eastAsia" w:cs="Times New Roman"/>
          <w:kern w:val="2"/>
          <w:sz w:val="32"/>
          <w:szCs w:val="32"/>
          <w:lang w:eastAsia="zh-CN"/>
        </w:rPr>
        <w:t>级</w:t>
      </w:r>
      <w:r>
        <w:rPr>
          <w:rFonts w:cs="Times New Roman"/>
          <w:kern w:val="2"/>
          <w:sz w:val="32"/>
          <w:szCs w:val="32"/>
        </w:rPr>
        <w:t>景区</w:t>
      </w:r>
      <w:r>
        <w:rPr>
          <w:rFonts w:hint="eastAsia" w:cs="Times New Roman"/>
          <w:kern w:val="2"/>
          <w:sz w:val="32"/>
          <w:szCs w:val="32"/>
          <w:lang w:eastAsia="zh-CN"/>
        </w:rPr>
        <w:t>，</w:t>
      </w:r>
      <w:r>
        <w:rPr>
          <w:rFonts w:cs="Times New Roman"/>
          <w:kern w:val="2"/>
          <w:sz w:val="32"/>
          <w:szCs w:val="32"/>
        </w:rPr>
        <w:t>旅游综合收入</w:t>
      </w:r>
      <w:r>
        <w:rPr>
          <w:rFonts w:hint="eastAsia" w:cs="Times New Roman"/>
          <w:kern w:val="2"/>
          <w:sz w:val="32"/>
          <w:szCs w:val="32"/>
        </w:rPr>
        <w:t>突破</w:t>
      </w:r>
      <w:r>
        <w:rPr>
          <w:rFonts w:hint="eastAsia" w:cs="Times New Roman"/>
          <w:kern w:val="2"/>
          <w:sz w:val="32"/>
          <w:szCs w:val="32"/>
          <w:lang w:val="en-US" w:eastAsia="zh-CN"/>
        </w:rPr>
        <w:t>100</w:t>
      </w:r>
      <w:r>
        <w:rPr>
          <w:rFonts w:hint="eastAsia" w:cs="Times New Roman"/>
          <w:kern w:val="2"/>
          <w:sz w:val="32"/>
          <w:szCs w:val="32"/>
        </w:rPr>
        <w:t>亿</w:t>
      </w:r>
      <w:r>
        <w:rPr>
          <w:rFonts w:cs="Times New Roman"/>
          <w:kern w:val="2"/>
          <w:sz w:val="32"/>
          <w:szCs w:val="32"/>
        </w:rPr>
        <w:t>元。</w:t>
      </w:r>
    </w:p>
    <w:tbl>
      <w:tblPr>
        <w:tblStyle w:val="24"/>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7" w:hRule="atLeast"/>
          <w:jc w:val="center"/>
        </w:trPr>
        <w:tc>
          <w:tcPr>
            <w:tcW w:w="8331" w:type="dxa"/>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黑体" w:hAnsi="黑体" w:eastAsia="黑体" w:cs="黑体"/>
                <w:sz w:val="24"/>
                <w:szCs w:val="24"/>
              </w:rPr>
            </w:pPr>
            <w:r>
              <w:rPr>
                <w:rFonts w:hint="eastAsia" w:ascii="黑体" w:hAnsi="黑体" w:eastAsia="黑体" w:cs="黑体"/>
                <w:sz w:val="24"/>
                <w:szCs w:val="24"/>
              </w:rPr>
              <w:t>专栏</w:t>
            </w:r>
            <w:r>
              <w:rPr>
                <w:rFonts w:hint="eastAsia" w:ascii="黑体" w:hAnsi="黑体" w:eastAsia="黑体" w:cs="黑体"/>
                <w:sz w:val="24"/>
                <w:szCs w:val="24"/>
                <w:lang w:val="en-US" w:eastAsia="zh-CN"/>
              </w:rPr>
              <w:t>15</w:t>
            </w:r>
            <w:r>
              <w:rPr>
                <w:rFonts w:hint="eastAsia" w:ascii="黑体" w:hAnsi="黑体" w:eastAsia="黑体" w:cs="黑体"/>
                <w:sz w:val="24"/>
                <w:szCs w:val="24"/>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640"/>
              <w:jc w:val="center"/>
              <w:textAlignment w:val="auto"/>
              <w:rPr>
                <w:rFonts w:cs="Times New Roman"/>
                <w:b/>
                <w:bCs/>
                <w:sz w:val="32"/>
                <w:szCs w:val="32"/>
              </w:rPr>
            </w:pPr>
            <w:r>
              <w:rPr>
                <w:rFonts w:hint="eastAsia" w:ascii="黑体" w:hAnsi="黑体" w:eastAsia="黑体" w:cs="黑体"/>
                <w:b w:val="0"/>
                <w:bCs w:val="0"/>
                <w:sz w:val="28"/>
                <w:szCs w:val="28"/>
              </w:rPr>
              <w:t>“一山二水三城”文旅框架体系</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一山</w:t>
            </w:r>
            <w:r>
              <w:rPr>
                <w:rFonts w:hint="eastAsia" w:ascii="楷体_GB2312" w:hAnsi="楷体_GB2312" w:eastAsia="楷体_GB2312" w:cs="楷体_GB2312"/>
                <w:b/>
                <w:bCs/>
                <w:sz w:val="24"/>
                <w:szCs w:val="24"/>
                <w:lang w:eastAsia="zh-CN"/>
              </w:rPr>
              <w:t>：</w:t>
            </w:r>
            <w:r>
              <w:rPr>
                <w:rFonts w:hint="eastAsia" w:ascii="仿宋_GB2312" w:hAnsi="仿宋_GB2312" w:eastAsia="仿宋_GB2312" w:cs="仿宋_GB2312"/>
                <w:sz w:val="24"/>
                <w:szCs w:val="24"/>
              </w:rPr>
              <w:t>二郎山。改造提升二郎山景区，增设禅修度假、山体休闲区，丰富景观小品，打造“九边第一山”</w:t>
            </w:r>
            <w:r>
              <w:rPr>
                <w:rFonts w:hint="eastAsia" w:ascii="仿宋_GB2312" w:hAnsi="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二水</w:t>
            </w:r>
            <w:r>
              <w:rPr>
                <w:rFonts w:hint="eastAsia" w:ascii="楷体_GB2312" w:hAnsi="楷体_GB2312" w:eastAsia="楷体_GB2312" w:cs="楷体_GB2312"/>
                <w:b/>
                <w:bCs/>
                <w:sz w:val="24"/>
                <w:szCs w:val="24"/>
                <w:lang w:eastAsia="zh-CN"/>
              </w:rPr>
              <w:t>：</w:t>
            </w:r>
            <w:r>
              <w:rPr>
                <w:rFonts w:hint="eastAsia" w:ascii="仿宋_GB2312" w:hAnsi="仿宋_GB2312" w:eastAsia="仿宋_GB2312" w:cs="仿宋_GB2312"/>
                <w:sz w:val="24"/>
                <w:szCs w:val="24"/>
              </w:rPr>
              <w:t>黄河、红碱淖。以沿黄公路为纽带，精细打造天台山、西津市、凤凰山等景区，丰富沿黄红色、宗教、民俗、古渡等文化载体展现形式，串点成线，打造沿黄生态文旅带；以红碱淖为核心，挖掘万亩草原、丹霞地貌、特色农业文旅资源潜力，打造文旅休闲观光度假带</w:t>
            </w:r>
            <w:r>
              <w:rPr>
                <w:rFonts w:hint="eastAsia" w:ascii="仿宋_GB2312" w:hAnsi="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cs="Times New Roman"/>
                <w:sz w:val="32"/>
                <w:szCs w:val="32"/>
              </w:rPr>
            </w:pPr>
            <w:r>
              <w:rPr>
                <w:rFonts w:hint="eastAsia" w:ascii="楷体_GB2312" w:hAnsi="楷体_GB2312" w:eastAsia="楷体_GB2312" w:cs="楷体_GB2312"/>
                <w:b/>
                <w:bCs/>
                <w:sz w:val="24"/>
                <w:szCs w:val="24"/>
              </w:rPr>
              <w:t>三城</w:t>
            </w:r>
            <w:r>
              <w:rPr>
                <w:rFonts w:hint="eastAsia" w:ascii="楷体_GB2312" w:hAnsi="楷体_GB2312" w:eastAsia="楷体_GB2312" w:cs="楷体_GB2312"/>
                <w:b/>
                <w:bCs/>
                <w:sz w:val="24"/>
                <w:szCs w:val="24"/>
                <w:lang w:eastAsia="zh-CN"/>
              </w:rPr>
              <w:t>：</w:t>
            </w:r>
            <w:r>
              <w:rPr>
                <w:rFonts w:hint="eastAsia" w:ascii="仿宋_GB2312" w:hAnsi="仿宋_GB2312" w:eastAsia="仿宋_GB2312" w:cs="仿宋_GB2312"/>
                <w:sz w:val="24"/>
                <w:szCs w:val="24"/>
              </w:rPr>
              <w:t>石峁（高家堡）、杨家城、</w:t>
            </w:r>
            <w:r>
              <w:rPr>
                <w:rFonts w:hint="eastAsia" w:ascii="仿宋_GB2312" w:hAnsi="仿宋_GB2312" w:cs="仿宋_GB2312"/>
                <w:sz w:val="24"/>
                <w:szCs w:val="24"/>
                <w:lang w:eastAsia="zh-CN"/>
              </w:rPr>
              <w:t>神木</w:t>
            </w:r>
            <w:r>
              <w:rPr>
                <w:rFonts w:hint="eastAsia" w:ascii="仿宋_GB2312" w:hAnsi="仿宋_GB2312" w:eastAsia="仿宋_GB2312" w:cs="仿宋_GB2312"/>
                <w:sz w:val="24"/>
                <w:szCs w:val="24"/>
              </w:rPr>
              <w:t>古城</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建设石峁国家</w:t>
            </w:r>
            <w:r>
              <w:rPr>
                <w:rFonts w:hint="eastAsia" w:ascii="仿宋_GB2312" w:hAnsi="仿宋_GB2312" w:cs="仿宋_GB2312"/>
                <w:sz w:val="24"/>
                <w:szCs w:val="24"/>
                <w:lang w:eastAsia="zh-CN"/>
              </w:rPr>
              <w:t>考古</w:t>
            </w:r>
            <w:r>
              <w:rPr>
                <w:rFonts w:hint="eastAsia" w:ascii="仿宋_GB2312" w:hAnsi="仿宋_GB2312" w:eastAsia="仿宋_GB2312" w:cs="仿宋_GB2312"/>
                <w:sz w:val="24"/>
                <w:szCs w:val="24"/>
              </w:rPr>
              <w:t>遗址文化公园，完善提升高家堡古镇“一城三街十六巷”空间格局；建设麟州故城国家遗址公园，打造具有边塞风格的文旅小镇；完成老城改造，建设神木营长城文化体验地，增强省级历史文化名城的文化内涵。</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85" w:name="_Toc23326"/>
      <w:bookmarkStart w:id="86" w:name="_Toc24074"/>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eastAsia="zh-CN"/>
        </w:rPr>
        <w:t>七</w:t>
      </w:r>
      <w:r>
        <w:rPr>
          <w:rFonts w:hint="eastAsia" w:ascii="楷体_GB2312" w:hAnsi="楷体_GB2312" w:eastAsia="楷体_GB2312" w:cs="楷体_GB2312"/>
          <w:bCs/>
          <w:sz w:val="32"/>
          <w:szCs w:val="32"/>
        </w:rPr>
        <w:t>节 完善公共文化服务体系</w:t>
      </w:r>
      <w:bookmarkEnd w:id="85"/>
      <w:bookmarkEnd w:id="86"/>
    </w:p>
    <w:p>
      <w:pPr>
        <w:pStyle w:val="10"/>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hint="eastAsia" w:cs="Times New Roman"/>
          <w:b/>
          <w:bCs/>
          <w:kern w:val="2"/>
          <w:sz w:val="32"/>
          <w:szCs w:val="32"/>
        </w:rPr>
      </w:pPr>
      <w:r>
        <w:rPr>
          <w:rFonts w:hint="eastAsia" w:cs="Times New Roman"/>
          <w:b/>
          <w:bCs/>
          <w:kern w:val="2"/>
          <w:sz w:val="32"/>
          <w:szCs w:val="32"/>
        </w:rPr>
        <w:t>深化文化体制改革</w:t>
      </w:r>
      <w:r>
        <w:rPr>
          <w:rFonts w:hint="eastAsia" w:cs="Times New Roman"/>
          <w:b/>
          <w:bCs/>
          <w:kern w:val="2"/>
          <w:sz w:val="32"/>
          <w:szCs w:val="32"/>
          <w:lang w:eastAsia="zh-CN"/>
        </w:rPr>
        <w:t>。</w:t>
      </w:r>
      <w:r>
        <w:rPr>
          <w:rFonts w:hint="eastAsia" w:eastAsia="仿宋_GB2312"/>
          <w:sz w:val="32"/>
          <w:szCs w:val="32"/>
          <w:lang w:val="en-US" w:eastAsia="zh-CN"/>
        </w:rPr>
        <w:t>坚持把社会效益放在首位，社会效益和经济效益相统一，深化文化管理体制和国有文化单位改革，扩大优质文化产品供给，打造“国香神木”文化品牌。</w:t>
      </w:r>
      <w:r>
        <w:rPr>
          <w:rFonts w:eastAsia="仿宋_GB2312"/>
          <w:sz w:val="32"/>
          <w:szCs w:val="32"/>
        </w:rPr>
        <w:t>创新文化项目投资运营机制，鼓励采用政府和社会资本合作模式建设各类涉文项目</w:t>
      </w:r>
      <w:r>
        <w:rPr>
          <w:rFonts w:hint="eastAsia" w:eastAsia="仿宋_GB2312"/>
          <w:sz w:val="32"/>
          <w:szCs w:val="32"/>
          <w:lang w:eastAsia="zh-CN"/>
        </w:rPr>
        <w:t>，</w:t>
      </w:r>
      <w:r>
        <w:rPr>
          <w:rFonts w:hint="eastAsia" w:eastAsia="仿宋_GB2312"/>
          <w:sz w:val="32"/>
          <w:szCs w:val="32"/>
        </w:rPr>
        <w:t>鼓励文化企业上市融资。</w:t>
      </w:r>
      <w:r>
        <w:rPr>
          <w:rFonts w:hint="eastAsia" w:eastAsia="仿宋_GB2312" w:asciiTheme="minorHAnsi" w:hAnsiTheme="minorHAnsi" w:cstheme="minorBidi"/>
          <w:kern w:val="2"/>
          <w:sz w:val="32"/>
          <w:szCs w:val="32"/>
          <w:lang w:val="en-US" w:eastAsia="zh-CN" w:bidi="ar-SA"/>
        </w:rPr>
        <w:t>设立文化产业发展专项资金，采取贴息、补助、奖励、贷款担保等方式，支持文化产业项目、规上文化企业培育、文化园区、企业孵化器建设。</w:t>
      </w:r>
      <w:r>
        <w:rPr>
          <w:rFonts w:hint="eastAsia" w:eastAsia="仿宋_GB2312"/>
          <w:sz w:val="32"/>
          <w:szCs w:val="32"/>
          <w:lang w:val="en-US" w:eastAsia="zh-CN"/>
        </w:rPr>
        <w:t>创新文化消费模式，通过“政府补贴、文化惠民”等方式，培养文化消费习惯</w:t>
      </w:r>
      <w:r>
        <w:rPr>
          <w:rFonts w:hint="eastAsia" w:ascii="仿宋_GB2312" w:eastAsia="仿宋_GB2312"/>
          <w:sz w:val="32"/>
          <w:szCs w:val="32"/>
        </w:rPr>
        <w:t>。</w:t>
      </w:r>
    </w:p>
    <w:p>
      <w:pPr>
        <w:pStyle w:val="10"/>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kern w:val="2"/>
          <w:sz w:val="32"/>
          <w:szCs w:val="32"/>
        </w:rPr>
      </w:pPr>
      <w:r>
        <w:rPr>
          <w:rFonts w:hint="eastAsia" w:cs="Times New Roman"/>
          <w:b/>
          <w:bCs/>
          <w:kern w:val="2"/>
          <w:sz w:val="32"/>
          <w:szCs w:val="32"/>
        </w:rPr>
        <w:t>强化公共文化服务。</w:t>
      </w:r>
      <w:r>
        <w:rPr>
          <w:rFonts w:cs="Times New Roman"/>
          <w:kern w:val="2"/>
          <w:sz w:val="32"/>
          <w:szCs w:val="32"/>
        </w:rPr>
        <w:t>加强公共文化基础设施建设，促进基本公共文化服务均等化。推进博物馆网络化、数字化、智能化建设。提升改造图书馆。</w:t>
      </w:r>
      <w:r>
        <w:rPr>
          <w:rFonts w:cs="Times New Roman"/>
          <w:color w:val="000000"/>
          <w:sz w:val="32"/>
          <w:szCs w:val="32"/>
          <w:shd w:val="clear" w:color="auto" w:fill="FFFFFF"/>
        </w:rPr>
        <w:t>加强非物质文化遗产保护和传承</w:t>
      </w:r>
      <w:r>
        <w:rPr>
          <w:rFonts w:hint="eastAsia" w:cs="Times New Roman"/>
          <w:color w:val="000000"/>
          <w:sz w:val="32"/>
          <w:szCs w:val="32"/>
          <w:shd w:val="clear" w:color="auto" w:fill="FFFFFF"/>
        </w:rPr>
        <w:t>，</w:t>
      </w:r>
      <w:r>
        <w:rPr>
          <w:rFonts w:cs="Times New Roman"/>
          <w:kern w:val="2"/>
          <w:sz w:val="32"/>
          <w:szCs w:val="32"/>
        </w:rPr>
        <w:t>建设综合性非物质文化遗产展示场所和专题展馆，</w:t>
      </w:r>
      <w:r>
        <w:rPr>
          <w:rFonts w:cs="Times New Roman"/>
          <w:color w:val="000000"/>
          <w:sz w:val="32"/>
          <w:szCs w:val="32"/>
          <w:shd w:val="clear" w:color="auto" w:fill="FFFFFF"/>
        </w:rPr>
        <w:t>振兴剪纸、面花等特色传统工艺。加快</w:t>
      </w:r>
      <w:r>
        <w:rPr>
          <w:rFonts w:cs="Times New Roman"/>
          <w:kern w:val="2"/>
          <w:sz w:val="32"/>
          <w:szCs w:val="32"/>
        </w:rPr>
        <w:t>广播电视全覆盖。推进体育馆、文化馆、图书馆和学校操场限时免费开放，继续实施文化“三下乡”活动，促进文化资源共建共享。</w:t>
      </w:r>
    </w:p>
    <w:p>
      <w:pPr>
        <w:pStyle w:val="44"/>
        <w:adjustRightInd/>
        <w:snapToGrid/>
        <w:spacing w:before="156" w:beforeLines="50" w:after="156" w:afterLines="50"/>
        <w:ind w:firstLine="0" w:firstLineChars="0"/>
        <w:jc w:val="center"/>
        <w:outlineLvl w:val="1"/>
        <w:rPr>
          <w:rFonts w:hint="default" w:ascii="楷体_GB2312" w:hAnsi="楷体_GB2312" w:eastAsia="楷体_GB2312" w:cs="楷体_GB2312"/>
          <w:bCs/>
          <w:sz w:val="32"/>
          <w:szCs w:val="32"/>
          <w:lang w:val="en-US" w:eastAsia="zh-CN"/>
        </w:rPr>
      </w:pPr>
      <w:bookmarkStart w:id="87" w:name="_Toc30732"/>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val="en-US" w:eastAsia="zh-CN"/>
        </w:rPr>
        <w:t>八</w:t>
      </w:r>
      <w:r>
        <w:rPr>
          <w:rFonts w:hint="eastAsia" w:ascii="楷体_GB2312" w:hAnsi="楷体_GB2312" w:eastAsia="楷体_GB2312" w:cs="楷体_GB2312"/>
          <w:bCs/>
          <w:sz w:val="32"/>
          <w:szCs w:val="32"/>
        </w:rPr>
        <w:t xml:space="preserve">节 </w:t>
      </w:r>
      <w:r>
        <w:rPr>
          <w:rFonts w:hint="eastAsia" w:ascii="楷体_GB2312" w:hAnsi="楷体_GB2312" w:eastAsia="楷体_GB2312" w:cs="楷体_GB2312"/>
          <w:bCs/>
          <w:sz w:val="32"/>
          <w:szCs w:val="32"/>
          <w:lang w:val="en-US" w:eastAsia="zh-CN"/>
        </w:rPr>
        <w:t>大力培育文化产业</w:t>
      </w:r>
      <w:bookmarkEnd w:id="87"/>
    </w:p>
    <w:p>
      <w:pPr>
        <w:keepNext w:val="0"/>
        <w:keepLines w:val="0"/>
        <w:pageBreakBefore w:val="0"/>
        <w:widowControl w:val="0"/>
        <w:kinsoku w:val="0"/>
        <w:wordWrap/>
        <w:overflowPunct w:val="0"/>
        <w:topLinePunct w:val="0"/>
        <w:autoSpaceDE/>
        <w:autoSpaceDN/>
        <w:bidi w:val="0"/>
        <w:adjustRightInd/>
        <w:snapToGrid/>
        <w:spacing w:line="600" w:lineRule="exact"/>
        <w:ind w:firstLine="643" w:firstLineChars="200"/>
        <w:jc w:val="both"/>
        <w:textAlignment w:val="auto"/>
        <w:rPr>
          <w:rFonts w:eastAsia="仿宋_GB2312"/>
          <w:sz w:val="32"/>
          <w:szCs w:val="32"/>
        </w:rPr>
      </w:pPr>
      <w:r>
        <w:rPr>
          <w:rFonts w:hint="eastAsia" w:ascii="Times New Roman" w:hAnsi="Times New Roman" w:eastAsia="仿宋_GB2312" w:cs="Times New Roman"/>
          <w:b/>
          <w:bCs/>
          <w:kern w:val="2"/>
          <w:sz w:val="32"/>
          <w:szCs w:val="32"/>
          <w:lang w:val="en-US" w:eastAsia="zh-CN" w:bidi="ar-SA"/>
        </w:rPr>
        <w:t>推进“文化+”融合发展。</w:t>
      </w:r>
      <w:r>
        <w:rPr>
          <w:rFonts w:eastAsia="仿宋_GB2312"/>
          <w:sz w:val="32"/>
          <w:szCs w:val="32"/>
        </w:rPr>
        <w:t>坚持创新驱动，推动文化发展方式转变，加快文化与农业、体育、影视等其他领域深度融合，激发文化发展内生活力。</w:t>
      </w:r>
      <w:r>
        <w:rPr>
          <w:rFonts w:eastAsia="仿宋_GB2312"/>
          <w:b/>
          <w:bCs/>
          <w:sz w:val="32"/>
          <w:szCs w:val="32"/>
        </w:rPr>
        <w:t>“文化+农业”，</w:t>
      </w:r>
      <w:r>
        <w:rPr>
          <w:rFonts w:eastAsia="仿宋_GB2312"/>
          <w:sz w:val="32"/>
          <w:szCs w:val="32"/>
        </w:rPr>
        <w:t>拓展休闲观光农业发展空间，树立农产品品牌，打造集农耕体验、田园风光、采摘垂钓、教育展示、文化传承于一体的农业休闲旅游文化园。</w:t>
      </w:r>
      <w:r>
        <w:rPr>
          <w:rFonts w:eastAsia="仿宋_GB2312"/>
          <w:b/>
          <w:bCs/>
          <w:sz w:val="32"/>
          <w:szCs w:val="32"/>
        </w:rPr>
        <w:t>“文化+体育”，</w:t>
      </w:r>
      <w:r>
        <w:rPr>
          <w:rFonts w:eastAsia="仿宋_GB2312"/>
          <w:sz w:val="32"/>
          <w:szCs w:val="32"/>
        </w:rPr>
        <w:t>充分挖掘冰雪、湖泊、湿地、山地、草原、沙漠等自然资源和传统体育人文资源，打造旅游运动集聚区。举办国家级、省级体育赛事，</w:t>
      </w:r>
      <w:r>
        <w:rPr>
          <w:rFonts w:hint="eastAsia"/>
          <w:sz w:val="32"/>
          <w:szCs w:val="32"/>
          <w:lang w:eastAsia="zh-CN"/>
        </w:rPr>
        <w:t>开发</w:t>
      </w:r>
      <w:r>
        <w:rPr>
          <w:rFonts w:eastAsia="仿宋_GB2312"/>
          <w:sz w:val="32"/>
          <w:szCs w:val="32"/>
        </w:rPr>
        <w:t>帆船等运动产业项目。</w:t>
      </w:r>
      <w:r>
        <w:rPr>
          <w:rFonts w:eastAsia="仿宋_GB2312"/>
          <w:b/>
          <w:bCs/>
          <w:sz w:val="32"/>
          <w:szCs w:val="32"/>
        </w:rPr>
        <w:t>“文化+影视”，</w:t>
      </w:r>
      <w:r>
        <w:rPr>
          <w:rFonts w:eastAsia="仿宋_GB2312"/>
          <w:sz w:val="32"/>
          <w:szCs w:val="32"/>
        </w:rPr>
        <w:t>利用边塞文化、红色文化、遗址文化、杨家将文化以及神木重大历史变革等文化资源，</w:t>
      </w:r>
      <w:r>
        <w:rPr>
          <w:rFonts w:hint="eastAsia"/>
          <w:sz w:val="32"/>
          <w:szCs w:val="32"/>
          <w:lang w:eastAsia="zh-CN"/>
        </w:rPr>
        <w:t>策划编排</w:t>
      </w:r>
      <w:r>
        <w:rPr>
          <w:rFonts w:eastAsia="仿宋_GB2312"/>
          <w:sz w:val="32"/>
          <w:szCs w:val="32"/>
        </w:rPr>
        <w:t>经典</w:t>
      </w:r>
      <w:r>
        <w:rPr>
          <w:rFonts w:hint="eastAsia"/>
          <w:sz w:val="32"/>
          <w:szCs w:val="32"/>
          <w:lang w:eastAsia="zh-CN"/>
        </w:rPr>
        <w:t>实景演出</w:t>
      </w:r>
      <w:r>
        <w:rPr>
          <w:rFonts w:eastAsia="仿宋_GB2312"/>
          <w:sz w:val="32"/>
          <w:szCs w:val="32"/>
        </w:rPr>
        <w:t>剧目，打造红碱淖影视基地、高家堡古镇影视基地、栏杆堡镇神隐村影视基地。</w:t>
      </w:r>
    </w:p>
    <w:p>
      <w:pPr>
        <w:pStyle w:val="10"/>
        <w:keepNext w:val="0"/>
        <w:keepLines w:val="0"/>
        <w:pageBreakBefore w:val="0"/>
        <w:widowControl w:val="0"/>
        <w:wordWrap/>
        <w:topLinePunct w:val="0"/>
        <w:autoSpaceDE/>
        <w:autoSpaceDN/>
        <w:bidi w:val="0"/>
        <w:spacing w:line="600" w:lineRule="exact"/>
        <w:ind w:firstLine="640"/>
        <w:jc w:val="both"/>
        <w:textAlignment w:val="auto"/>
        <w:rPr>
          <w:rFonts w:hint="eastAsia" w:eastAsia="仿宋_GB2312" w:cs="Times New Roman"/>
          <w:kern w:val="2"/>
          <w:sz w:val="32"/>
          <w:szCs w:val="32"/>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hint="eastAsia" w:cs="Times New Roman"/>
          <w:b/>
          <w:bCs/>
          <w:kern w:val="2"/>
          <w:sz w:val="32"/>
          <w:szCs w:val="32"/>
          <w:lang w:val="en-US" w:eastAsia="zh-CN"/>
        </w:rPr>
        <w:t>培育</w:t>
      </w:r>
      <w:r>
        <w:rPr>
          <w:rFonts w:hint="eastAsia" w:cs="Times New Roman"/>
          <w:b/>
          <w:bCs/>
          <w:kern w:val="2"/>
          <w:sz w:val="32"/>
          <w:szCs w:val="32"/>
        </w:rPr>
        <w:t>发展</w:t>
      </w:r>
      <w:r>
        <w:rPr>
          <w:rFonts w:cs="Times New Roman"/>
          <w:b/>
          <w:bCs/>
          <w:kern w:val="2"/>
          <w:sz w:val="32"/>
          <w:szCs w:val="32"/>
        </w:rPr>
        <w:t>文化产业。</w:t>
      </w:r>
      <w:r>
        <w:rPr>
          <w:rFonts w:cs="Times New Roman"/>
          <w:kern w:val="2"/>
          <w:sz w:val="32"/>
          <w:szCs w:val="32"/>
        </w:rPr>
        <w:t>支持文旅集团做大做强，打造集文化、旅游、休闲于一体的文旅综合体。大力发展文创产业，做大做强影视音乐、</w:t>
      </w:r>
      <w:r>
        <w:rPr>
          <w:rFonts w:hint="eastAsia" w:cs="Times New Roman"/>
          <w:kern w:val="2"/>
          <w:sz w:val="32"/>
          <w:szCs w:val="32"/>
        </w:rPr>
        <w:t>广告传媒、</w:t>
      </w:r>
      <w:r>
        <w:rPr>
          <w:rFonts w:cs="Times New Roman"/>
          <w:kern w:val="2"/>
          <w:sz w:val="32"/>
          <w:szCs w:val="32"/>
        </w:rPr>
        <w:t>游戏动漫等</w:t>
      </w:r>
      <w:r>
        <w:rPr>
          <w:rFonts w:hint="eastAsia" w:cs="Times New Roman"/>
          <w:kern w:val="2"/>
          <w:sz w:val="32"/>
          <w:szCs w:val="32"/>
        </w:rPr>
        <w:t>文化</w:t>
      </w:r>
      <w:r>
        <w:rPr>
          <w:rFonts w:cs="Times New Roman"/>
          <w:kern w:val="2"/>
          <w:sz w:val="32"/>
          <w:szCs w:val="32"/>
        </w:rPr>
        <w:t>产业，鼓励民间资本投资建设文化产业园区，培育一批具有区域影响力的文化龙头企业。创新发展文化节会，提升</w:t>
      </w:r>
      <w:r>
        <w:rPr>
          <w:rFonts w:hint="eastAsia" w:cs="Times New Roman"/>
          <w:kern w:val="2"/>
          <w:sz w:val="32"/>
          <w:szCs w:val="32"/>
        </w:rPr>
        <w:t>春节文化系列活动</w:t>
      </w:r>
      <w:r>
        <w:rPr>
          <w:rFonts w:cs="Times New Roman"/>
          <w:kern w:val="2"/>
          <w:sz w:val="32"/>
          <w:szCs w:val="32"/>
        </w:rPr>
        <w:t>、二郎山庙会等节会品质，开发具有突出优势的文化主题活动</w:t>
      </w:r>
      <w:r>
        <w:rPr>
          <w:rFonts w:hint="eastAsia" w:cs="Times New Roman"/>
          <w:kern w:val="2"/>
          <w:sz w:val="32"/>
          <w:szCs w:val="32"/>
          <w:lang w:eastAsia="zh-CN"/>
        </w:rPr>
        <w:t>，</w:t>
      </w:r>
      <w:r>
        <w:rPr>
          <w:rFonts w:hint="eastAsia" w:cs="Times New Roman"/>
          <w:kern w:val="2"/>
          <w:sz w:val="32"/>
          <w:szCs w:val="32"/>
          <w:lang w:val="en-US" w:eastAsia="zh-CN"/>
        </w:rPr>
        <w:t>打造展现神木魅力的活动品牌</w:t>
      </w:r>
      <w:r>
        <w:rPr>
          <w:rFonts w:cs="Times New Roman"/>
          <w:kern w:val="2"/>
          <w:sz w:val="32"/>
          <w:szCs w:val="32"/>
        </w:rPr>
        <w:t>。</w:t>
      </w:r>
      <w:r>
        <w:rPr>
          <w:rFonts w:hint="eastAsia" w:ascii="仿宋_GB2312" w:eastAsia="仿宋_GB2312"/>
          <w:sz w:val="32"/>
          <w:szCs w:val="32"/>
        </w:rPr>
        <w:t>支持实体书店发展，推动建设一批与经济社会发展水平相适应的大型书城、连锁书店、专业书店、便民书店</w:t>
      </w:r>
      <w:r>
        <w:rPr>
          <w:rFonts w:hint="eastAsia" w:ascii="仿宋_GB2312" w:hAnsi="仿宋_GB2312" w:eastAsia="仿宋_GB2312" w:cs="仿宋_GB2312"/>
          <w:kern w:val="0"/>
          <w:sz w:val="32"/>
          <w:szCs w:val="32"/>
          <w:shd w:val="clear" w:color="auto" w:fill="FFFFFF"/>
        </w:rPr>
        <w:t>。</w:t>
      </w:r>
      <w:r>
        <w:rPr>
          <w:rFonts w:cs="Times New Roman"/>
          <w:kern w:val="2"/>
          <w:sz w:val="32"/>
          <w:szCs w:val="32"/>
        </w:rPr>
        <w:t>实施精品战略，建立健全文化产品创作激励机制和评价体系，围绕石峁、长城、黄河、杨</w:t>
      </w:r>
      <w:r>
        <w:rPr>
          <w:rFonts w:hint="eastAsia" w:cs="Times New Roman"/>
          <w:kern w:val="2"/>
          <w:sz w:val="32"/>
          <w:szCs w:val="32"/>
          <w:lang w:eastAsia="zh-CN"/>
        </w:rPr>
        <w:t>家</w:t>
      </w:r>
      <w:r>
        <w:rPr>
          <w:rFonts w:cs="Times New Roman"/>
          <w:kern w:val="2"/>
          <w:sz w:val="32"/>
          <w:szCs w:val="32"/>
        </w:rPr>
        <w:t>城、红碱淖等特色文化资源，推出一批高水平文艺精品。</w:t>
      </w:r>
      <w:r>
        <w:rPr>
          <w:rFonts w:hint="eastAsia" w:cs="Times New Roman"/>
          <w:kern w:val="2"/>
          <w:sz w:val="32"/>
          <w:szCs w:val="32"/>
          <w:lang w:eastAsia="zh-CN"/>
        </w:rPr>
        <w:t>积极承办国家级、省级重大文化活动。</w:t>
      </w:r>
    </w:p>
    <w:p>
      <w:pPr>
        <w:pStyle w:val="3"/>
        <w:ind w:left="0" w:firstLine="0" w:firstLineChars="0"/>
        <w:jc w:val="center"/>
        <w:rPr>
          <w:rFonts w:hint="eastAsia" w:ascii="Times New Roman" w:hAnsi="Times New Roman" w:eastAsia="方正小标宋简体" w:cs="Times New Roman"/>
          <w:w w:val="82"/>
          <w:sz w:val="44"/>
          <w:szCs w:val="44"/>
          <w:lang w:val="en-US" w:eastAsia="zh-CN"/>
        </w:rPr>
      </w:pPr>
      <w:bookmarkStart w:id="88" w:name="_Toc15689"/>
      <w:bookmarkStart w:id="89" w:name="_Toc3543"/>
      <w:r>
        <w:rPr>
          <w:rFonts w:ascii="Times New Roman" w:hAnsi="Times New Roman" w:eastAsia="方正小标宋简体" w:cs="Times New Roman"/>
          <w:w w:val="82"/>
          <w:sz w:val="44"/>
          <w:szCs w:val="44"/>
        </w:rPr>
        <w:t xml:space="preserve">第十一章 </w:t>
      </w:r>
      <w:r>
        <w:rPr>
          <w:rFonts w:hint="eastAsia" w:ascii="Times New Roman" w:hAnsi="Times New Roman" w:eastAsia="方正小标宋简体" w:cs="Times New Roman"/>
          <w:w w:val="82"/>
          <w:sz w:val="44"/>
          <w:szCs w:val="44"/>
          <w:lang w:val="en-US" w:eastAsia="zh-CN"/>
        </w:rPr>
        <w:t>加速生态修复</w:t>
      </w:r>
      <w:r>
        <w:rPr>
          <w:rFonts w:ascii="Times New Roman" w:hAnsi="Times New Roman" w:eastAsia="方正小标宋简体" w:cs="Times New Roman"/>
          <w:w w:val="82"/>
          <w:sz w:val="44"/>
          <w:szCs w:val="44"/>
        </w:rPr>
        <w:t>，</w:t>
      </w:r>
      <w:r>
        <w:rPr>
          <w:rFonts w:hint="eastAsia" w:ascii="Times New Roman" w:hAnsi="Times New Roman" w:eastAsia="方正小标宋简体" w:cs="Times New Roman"/>
          <w:w w:val="82"/>
          <w:sz w:val="44"/>
          <w:szCs w:val="44"/>
          <w:lang w:val="en-US" w:eastAsia="zh-CN"/>
        </w:rPr>
        <w:t>构筑矿区</w:t>
      </w:r>
      <w:r>
        <w:rPr>
          <w:rFonts w:ascii="Times New Roman" w:hAnsi="Times New Roman" w:eastAsia="方正小标宋简体" w:cs="Times New Roman"/>
          <w:w w:val="82"/>
          <w:sz w:val="44"/>
          <w:szCs w:val="44"/>
        </w:rPr>
        <w:t>生态</w:t>
      </w:r>
      <w:r>
        <w:rPr>
          <w:rFonts w:hint="eastAsia" w:ascii="Times New Roman" w:hAnsi="Times New Roman" w:eastAsia="方正小标宋简体" w:cs="Times New Roman"/>
          <w:w w:val="82"/>
          <w:sz w:val="44"/>
          <w:szCs w:val="44"/>
          <w:lang w:val="en-US" w:eastAsia="zh-CN"/>
        </w:rPr>
        <w:t>绿色化</w:t>
      </w:r>
      <w:bookmarkEnd w:id="88"/>
      <w:r>
        <w:rPr>
          <w:rFonts w:hint="eastAsia" w:ascii="Times New Roman" w:hAnsi="Times New Roman" w:eastAsia="方正小标宋简体" w:cs="Times New Roman"/>
          <w:w w:val="82"/>
          <w:sz w:val="44"/>
          <w:szCs w:val="44"/>
          <w:lang w:val="en-US" w:eastAsia="zh-CN"/>
        </w:rPr>
        <w:t>新屏障</w:t>
      </w:r>
      <w:bookmarkEnd w:id="89"/>
    </w:p>
    <w:p>
      <w:pPr>
        <w:pStyle w:val="10"/>
        <w:keepNext w:val="0"/>
        <w:keepLines w:val="0"/>
        <w:pageBreakBefore w:val="0"/>
        <w:widowControl w:val="0"/>
        <w:kinsoku/>
        <w:wordWrap/>
        <w:overflowPunct/>
        <w:topLinePunct w:val="0"/>
        <w:autoSpaceDE/>
        <w:autoSpaceDN/>
        <w:bidi w:val="0"/>
        <w:adjustRightInd w:val="0"/>
        <w:snapToGrid w:val="0"/>
        <w:spacing w:line="590" w:lineRule="exact"/>
        <w:ind w:firstLine="640"/>
        <w:textAlignment w:val="auto"/>
        <w:rPr>
          <w:rFonts w:cs="Times New Roman"/>
          <w:kern w:val="2"/>
          <w:sz w:val="32"/>
          <w:szCs w:val="32"/>
        </w:rPr>
      </w:pPr>
      <w:r>
        <w:rPr>
          <w:rFonts w:cs="Times New Roman"/>
          <w:kern w:val="2"/>
          <w:sz w:val="32"/>
          <w:szCs w:val="32"/>
        </w:rPr>
        <w:t>坚持</w:t>
      </w:r>
      <w:r>
        <w:rPr>
          <w:rFonts w:hint="eastAsia" w:cs="Times New Roman"/>
          <w:kern w:val="2"/>
          <w:sz w:val="32"/>
          <w:szCs w:val="32"/>
        </w:rPr>
        <w:t>“两山”发展</w:t>
      </w:r>
      <w:r>
        <w:rPr>
          <w:rFonts w:cs="Times New Roman"/>
          <w:kern w:val="2"/>
          <w:sz w:val="32"/>
          <w:szCs w:val="32"/>
        </w:rPr>
        <w:t>理念，积极履行碳达峰和碳中和责任，找准生态承载与资源开发平衡点，系统实施山水林田湖草沙综合治理，健全生态文明体系</w:t>
      </w:r>
      <w:r>
        <w:rPr>
          <w:rFonts w:hint="eastAsia" w:cs="Times New Roman"/>
          <w:kern w:val="2"/>
          <w:sz w:val="32"/>
          <w:szCs w:val="32"/>
          <w:lang w:eastAsia="zh-CN"/>
        </w:rPr>
        <w:t>，持续推进国家级生态文明先行示范区建设</w:t>
      </w:r>
      <w:r>
        <w:rPr>
          <w:rFonts w:cs="Times New Roman"/>
          <w:kern w:val="2"/>
          <w:sz w:val="32"/>
          <w:szCs w:val="32"/>
        </w:rPr>
        <w:t>。</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90" w:name="_Toc4798"/>
      <w:bookmarkStart w:id="91" w:name="_Toc1639"/>
      <w:r>
        <w:rPr>
          <w:rFonts w:hint="eastAsia" w:ascii="楷体_GB2312" w:hAnsi="楷体_GB2312" w:eastAsia="楷体_GB2312" w:cs="楷体_GB2312"/>
          <w:bCs/>
          <w:sz w:val="32"/>
          <w:szCs w:val="32"/>
        </w:rPr>
        <w:t>第一节 打好矿区生态修复攻坚战</w:t>
      </w:r>
      <w:bookmarkEnd w:id="90"/>
      <w:bookmarkEnd w:id="91"/>
    </w:p>
    <w:p>
      <w:pPr>
        <w:pStyle w:val="10"/>
        <w:keepNext w:val="0"/>
        <w:keepLines w:val="0"/>
        <w:pageBreakBefore w:val="0"/>
        <w:widowControl w:val="0"/>
        <w:kinsoku/>
        <w:wordWrap/>
        <w:overflowPunct/>
        <w:topLinePunct w:val="0"/>
        <w:autoSpaceDE/>
        <w:autoSpaceDN/>
        <w:bidi w:val="0"/>
        <w:adjustRightInd w:val="0"/>
        <w:snapToGrid w:val="0"/>
        <w:spacing w:line="590" w:lineRule="exact"/>
        <w:ind w:firstLine="640"/>
        <w:jc w:val="both"/>
        <w:textAlignment w:val="auto"/>
        <w:rPr>
          <w:rFonts w:hint="default" w:eastAsia="仿宋_GB2312" w:cs="Times New Roman"/>
          <w:kern w:val="2"/>
          <w:sz w:val="32"/>
          <w:szCs w:val="32"/>
          <w:lang w:val="en-US" w:eastAsia="zh-CN"/>
        </w:rPr>
      </w:pPr>
      <w:r>
        <w:rPr>
          <w:rFonts w:hint="eastAsia" w:cs="Times New Roman"/>
          <w:kern w:val="2"/>
          <w:sz w:val="32"/>
          <w:szCs w:val="32"/>
          <w:lang w:val="en-US" w:eastAsia="zh-CN"/>
        </w:rPr>
        <w:t>编制矿区生态修复总体规划，积极争取创建黄河流域矿区污染治理和生态修复试点示范。坚持宜农则农、宜林则林、宜草则草，对于已闭坑矿权灭失的采煤沉陷区，按照“政府主导、政策扶持、社会参与、开发式治理、市场化运作”模式开展生态修复治理。新建、在建有责任主体的矿山，</w:t>
      </w:r>
      <w:r>
        <w:rPr>
          <w:rFonts w:cs="Times New Roman"/>
          <w:kern w:val="2"/>
          <w:sz w:val="32"/>
          <w:szCs w:val="32"/>
        </w:rPr>
        <w:t>按照“谁开采、谁治理，谁受益</w:t>
      </w:r>
      <w:r>
        <w:rPr>
          <w:rFonts w:hint="eastAsia" w:cs="Times New Roman"/>
          <w:kern w:val="2"/>
          <w:sz w:val="32"/>
          <w:szCs w:val="32"/>
          <w:lang w:eastAsia="zh-CN"/>
        </w:rPr>
        <w:t>、</w:t>
      </w:r>
      <w:r>
        <w:rPr>
          <w:rFonts w:cs="Times New Roman"/>
          <w:kern w:val="2"/>
          <w:sz w:val="32"/>
          <w:szCs w:val="32"/>
        </w:rPr>
        <w:t>谁补偿”原则，</w:t>
      </w:r>
      <w:r>
        <w:rPr>
          <w:rFonts w:hint="eastAsia" w:cs="Times New Roman"/>
          <w:kern w:val="2"/>
          <w:sz w:val="32"/>
          <w:szCs w:val="32"/>
          <w:lang w:val="en-US" w:eastAsia="zh-CN"/>
        </w:rPr>
        <w:t>利用矿山地质</w:t>
      </w:r>
      <w:bookmarkStart w:id="92" w:name="OLE_LINK4"/>
      <w:r>
        <w:rPr>
          <w:rFonts w:hint="eastAsia" w:cs="Times New Roman"/>
          <w:kern w:val="2"/>
          <w:sz w:val="32"/>
          <w:szCs w:val="32"/>
          <w:lang w:val="en-US" w:eastAsia="zh-CN"/>
        </w:rPr>
        <w:t>环境治理恢复与土地复垦</w:t>
      </w:r>
      <w:bookmarkEnd w:id="92"/>
      <w:r>
        <w:rPr>
          <w:rFonts w:hint="eastAsia" w:cs="Times New Roman"/>
          <w:kern w:val="2"/>
          <w:sz w:val="32"/>
          <w:szCs w:val="32"/>
          <w:lang w:val="en-US" w:eastAsia="zh-CN"/>
        </w:rPr>
        <w:t>基金开展规模化、成片化、效益化治理。鼓励应用充填开采、井下选矸等煤炭开采新技术，减少矸石外排和采空塌陷。</w:t>
      </w:r>
      <w:r>
        <w:rPr>
          <w:rFonts w:cs="Times New Roman"/>
          <w:color w:val="000000"/>
          <w:sz w:val="32"/>
          <w:szCs w:val="32"/>
        </w:rPr>
        <w:t>到2025年，</w:t>
      </w:r>
      <w:r>
        <w:rPr>
          <w:rFonts w:hint="eastAsia" w:cs="Times New Roman"/>
          <w:color w:val="000000"/>
          <w:sz w:val="32"/>
          <w:szCs w:val="32"/>
        </w:rPr>
        <w:t>力争完成修复土地</w:t>
      </w:r>
      <w:r>
        <w:rPr>
          <w:rFonts w:hint="eastAsia" w:cs="Times New Roman"/>
          <w:color w:val="000000"/>
          <w:sz w:val="32"/>
          <w:szCs w:val="32"/>
          <w:lang w:val="en-US" w:eastAsia="zh-CN"/>
        </w:rPr>
        <w:t>100</w:t>
      </w:r>
      <w:r>
        <w:rPr>
          <w:rFonts w:cs="Times New Roman"/>
          <w:color w:val="000000"/>
          <w:sz w:val="32"/>
          <w:szCs w:val="32"/>
        </w:rPr>
        <w:t>万亩以</w:t>
      </w:r>
      <w:r>
        <w:rPr>
          <w:rFonts w:hint="eastAsia" w:cs="Times New Roman"/>
          <w:kern w:val="2"/>
          <w:sz w:val="32"/>
          <w:szCs w:val="32"/>
          <w:lang w:val="en-US" w:eastAsia="zh-CN"/>
        </w:rPr>
        <w:t>上，采空塌陷历史遗留问题和煤层自燃灾害得到有效治理</w:t>
      </w:r>
      <w:r>
        <w:rPr>
          <w:rFonts w:cs="Times New Roman"/>
          <w:color w:val="000000"/>
          <w:sz w:val="32"/>
          <w:szCs w:val="32"/>
        </w:rPr>
        <w:t>。</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93" w:name="_Toc10929"/>
      <w:bookmarkStart w:id="94" w:name="_Toc13349"/>
      <w:r>
        <w:rPr>
          <w:rFonts w:hint="eastAsia" w:ascii="楷体_GB2312" w:hAnsi="楷体_GB2312" w:eastAsia="楷体_GB2312" w:cs="楷体_GB2312"/>
          <w:bCs/>
          <w:sz w:val="32"/>
          <w:szCs w:val="32"/>
        </w:rPr>
        <w:t>第二节 推进固体废弃物综合利用</w:t>
      </w:r>
      <w:bookmarkEnd w:id="93"/>
      <w:bookmarkEnd w:id="94"/>
    </w:p>
    <w:p>
      <w:pPr>
        <w:pStyle w:val="10"/>
        <w:keepNext w:val="0"/>
        <w:keepLines w:val="0"/>
        <w:pageBreakBefore w:val="0"/>
        <w:widowControl w:val="0"/>
        <w:kinsoku/>
        <w:wordWrap/>
        <w:overflowPunct/>
        <w:topLinePunct w:val="0"/>
        <w:autoSpaceDE/>
        <w:autoSpaceDN/>
        <w:bidi w:val="0"/>
        <w:adjustRightInd w:val="0"/>
        <w:snapToGrid w:val="0"/>
        <w:spacing w:line="590" w:lineRule="exact"/>
        <w:ind w:firstLine="640"/>
        <w:jc w:val="both"/>
        <w:textAlignment w:val="auto"/>
        <w:rPr>
          <w:rFonts w:cs="Times New Roman"/>
          <w:kern w:val="2"/>
          <w:sz w:val="32"/>
          <w:szCs w:val="32"/>
        </w:rPr>
      </w:pPr>
      <w:r>
        <w:rPr>
          <w:rFonts w:cs="Times New Roman"/>
          <w:kern w:val="2"/>
          <w:sz w:val="32"/>
          <w:szCs w:val="32"/>
        </w:rPr>
        <w:t>严守环境质量安全底线，补齐危险废弃物、医疗废弃物处置能力短板。依托高新区</w:t>
      </w:r>
      <w:r>
        <w:rPr>
          <w:rFonts w:hint="eastAsia" w:cs="Times New Roman"/>
          <w:kern w:val="2"/>
          <w:sz w:val="32"/>
          <w:szCs w:val="32"/>
        </w:rPr>
        <w:t>、</w:t>
      </w:r>
      <w:r>
        <w:rPr>
          <w:rFonts w:cs="Times New Roman"/>
          <w:kern w:val="2"/>
          <w:sz w:val="32"/>
          <w:szCs w:val="32"/>
        </w:rPr>
        <w:t>大柳塔试验区</w:t>
      </w:r>
      <w:r>
        <w:rPr>
          <w:rFonts w:hint="eastAsia" w:cs="Times New Roman"/>
          <w:kern w:val="2"/>
          <w:sz w:val="32"/>
          <w:szCs w:val="32"/>
        </w:rPr>
        <w:t>，</w:t>
      </w:r>
      <w:r>
        <w:rPr>
          <w:rFonts w:cs="Times New Roman"/>
          <w:kern w:val="2"/>
          <w:sz w:val="32"/>
          <w:szCs w:val="32"/>
        </w:rPr>
        <w:t>发展生态修复、矿井充填、大宗建工和高值新型材料等4类大宗固废利用产业，</w:t>
      </w:r>
      <w:r>
        <w:rPr>
          <w:rFonts w:hint="eastAsia" w:cs="Times New Roman"/>
          <w:kern w:val="2"/>
          <w:sz w:val="32"/>
          <w:szCs w:val="32"/>
        </w:rPr>
        <w:t>创建</w:t>
      </w:r>
      <w:r>
        <w:rPr>
          <w:rFonts w:cs="Times New Roman"/>
          <w:kern w:val="2"/>
          <w:sz w:val="32"/>
          <w:szCs w:val="32"/>
        </w:rPr>
        <w:t>国家大宗固废综合利用基地。</w:t>
      </w:r>
      <w:r>
        <w:rPr>
          <w:rFonts w:cs="Times New Roman"/>
          <w:sz w:val="32"/>
          <w:szCs w:val="32"/>
        </w:rPr>
        <w:t>利用中心城区及周边镇街生活垃圾，规划</w:t>
      </w:r>
      <w:r>
        <w:rPr>
          <w:rFonts w:hint="eastAsia" w:cs="Times New Roman"/>
          <w:sz w:val="32"/>
          <w:szCs w:val="32"/>
          <w:lang w:eastAsia="zh-CN"/>
        </w:rPr>
        <w:t>建设</w:t>
      </w:r>
      <w:r>
        <w:rPr>
          <w:rFonts w:cs="Times New Roman"/>
          <w:sz w:val="32"/>
          <w:szCs w:val="32"/>
        </w:rPr>
        <w:t>垃圾焚</w:t>
      </w:r>
      <w:r>
        <w:rPr>
          <w:rFonts w:cs="Times New Roman"/>
          <w:kern w:val="2"/>
          <w:sz w:val="32"/>
          <w:szCs w:val="32"/>
        </w:rPr>
        <w:t>烧发电机组。推广应用厨余垃圾综合利用、垃圾焚烧热解等技术。到2025年，固体废弃物全面实现综合利用和安全处置，建成5个固体废弃物综合利用及无害化处置项目，主要固体废弃物利用和处置</w:t>
      </w:r>
      <w:r>
        <w:rPr>
          <w:rFonts w:hint="eastAsia" w:cs="Times New Roman"/>
          <w:kern w:val="2"/>
          <w:sz w:val="32"/>
          <w:szCs w:val="32"/>
        </w:rPr>
        <w:t>能力</w:t>
      </w:r>
      <w:r>
        <w:rPr>
          <w:rFonts w:cs="Times New Roman"/>
          <w:kern w:val="2"/>
          <w:sz w:val="32"/>
          <w:szCs w:val="32"/>
        </w:rPr>
        <w:t>达到500万吨，大宗工业固废综合利用率达到</w:t>
      </w:r>
      <w:r>
        <w:rPr>
          <w:rFonts w:hint="eastAsia" w:cs="Times New Roman"/>
          <w:kern w:val="2"/>
          <w:sz w:val="32"/>
          <w:szCs w:val="32"/>
          <w:lang w:val="en-US" w:eastAsia="zh-CN"/>
        </w:rPr>
        <w:t>7</w:t>
      </w:r>
      <w:r>
        <w:rPr>
          <w:rFonts w:cs="Times New Roman"/>
          <w:kern w:val="2"/>
          <w:sz w:val="32"/>
          <w:szCs w:val="32"/>
        </w:rPr>
        <w:t>5%以上。</w:t>
      </w:r>
    </w:p>
    <w:tbl>
      <w:tblPr>
        <w:tblStyle w:val="25"/>
        <w:tblW w:w="0" w:type="auto"/>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trPr>
        <w:tc>
          <w:tcPr>
            <w:tcW w:w="8237" w:type="dxa"/>
          </w:tcPr>
          <w:p>
            <w:pPr>
              <w:pStyle w:val="10"/>
              <w:ind w:firstLine="0" w:firstLineChars="0"/>
              <w:jc w:val="both"/>
              <w:rPr>
                <w:rFonts w:cs="Times New Roman"/>
                <w:sz w:val="32"/>
                <w:szCs w:val="32"/>
                <w:shd w:val="clear" w:color="auto" w:fill="FFFFFF"/>
              </w:rPr>
            </w:pPr>
            <w:r>
              <w:rPr>
                <w:rFonts w:hint="eastAsia" w:ascii="黑体" w:hAnsi="黑体" w:eastAsia="黑体" w:cs="黑体"/>
                <w:sz w:val="24"/>
                <w:szCs w:val="24"/>
                <w:lang w:val="en-US" w:eastAsia="zh-CN" w:bidi="ar-SA"/>
              </w:rPr>
              <w:t xml:space="preserve">专栏16： </w:t>
            </w:r>
            <w:r>
              <w:rPr>
                <w:rFonts w:cs="Times New Roman"/>
                <w:b/>
                <w:bCs/>
                <w:szCs w:val="28"/>
                <w:shd w:val="clear" w:color="auto" w:fill="FFFFFF"/>
              </w:rPr>
              <w:t xml:space="preserve">  </w:t>
            </w:r>
            <w:r>
              <w:rPr>
                <w:rFonts w:cs="Times New Roman"/>
                <w:szCs w:val="28"/>
                <w:shd w:val="clear" w:color="auto" w:fill="FFFFFF"/>
              </w:rPr>
              <w:t xml:space="preserve"> </w:t>
            </w:r>
            <w:r>
              <w:rPr>
                <w:rFonts w:cs="Times New Roman"/>
                <w:sz w:val="32"/>
                <w:szCs w:val="32"/>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cs="Times New Roman"/>
                <w:b/>
                <w:bCs/>
                <w:szCs w:val="28"/>
                <w:shd w:val="clear" w:color="auto" w:fill="FFFFFF"/>
              </w:rPr>
            </w:pPr>
            <w:r>
              <w:rPr>
                <w:rFonts w:hint="eastAsia" w:ascii="黑体" w:hAnsi="黑体" w:eastAsia="黑体" w:cs="黑体"/>
                <w:b w:val="0"/>
                <w:bCs w:val="0"/>
                <w:szCs w:val="28"/>
                <w:shd w:val="clear" w:color="auto" w:fill="FFFFFF"/>
              </w:rPr>
              <w:t>大宗工业固废综合利用基地</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锦界高新区：</w:t>
            </w:r>
            <w:r>
              <w:rPr>
                <w:rFonts w:hint="eastAsia" w:ascii="仿宋_GB2312" w:hAnsi="仿宋_GB2312" w:eastAsia="仿宋_GB2312" w:cs="仿宋_GB2312"/>
                <w:sz w:val="24"/>
                <w:szCs w:val="24"/>
              </w:rPr>
              <w:t>煤矸石精深加工制备陶瓷及陶瓷原料、百万吨活性粉体制备与应用、矸石—粉煤灰—炉渣多固废路基材料制备、低热值固废发电、电石渣短程回用制备脱硫剂、废脱硝催化剂提取二氧化钛等</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cs="Times New Roman" w:eastAsiaTheme="minorEastAsia"/>
                <w:sz w:val="24"/>
                <w:szCs w:val="24"/>
                <w:shd w:val="clear" w:color="auto" w:fill="FFFFFF"/>
              </w:rPr>
            </w:pPr>
            <w:r>
              <w:rPr>
                <w:rFonts w:hint="eastAsia" w:ascii="楷体_GB2312" w:hAnsi="楷体_GB2312" w:eastAsia="楷体_GB2312" w:cs="楷体_GB2312"/>
                <w:b/>
                <w:bCs/>
                <w:sz w:val="24"/>
                <w:szCs w:val="24"/>
              </w:rPr>
              <w:t>大柳塔试验区：</w:t>
            </w:r>
            <w:r>
              <w:rPr>
                <w:rFonts w:hint="eastAsia" w:ascii="仿宋_GB2312" w:hAnsi="仿宋_GB2312" w:eastAsia="仿宋_GB2312" w:cs="仿宋_GB2312"/>
                <w:sz w:val="24"/>
                <w:szCs w:val="24"/>
              </w:rPr>
              <w:t>煤矸石矿井充填胶结材料制备与应用，煤矸石制土壤修复剂、固废制装配式建筑材料。</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95" w:name="_Toc13655"/>
      <w:bookmarkStart w:id="96" w:name="_Toc8507"/>
      <w:r>
        <w:rPr>
          <w:rFonts w:hint="eastAsia" w:ascii="楷体_GB2312" w:hAnsi="楷体_GB2312" w:eastAsia="楷体_GB2312" w:cs="楷体_GB2312"/>
          <w:bCs/>
          <w:sz w:val="32"/>
          <w:szCs w:val="32"/>
        </w:rPr>
        <w:t>第三节 实施塞上绿色行动计划</w:t>
      </w:r>
      <w:bookmarkEnd w:id="95"/>
      <w:bookmarkEnd w:id="96"/>
    </w:p>
    <w:p>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cs="Times New Roman"/>
          <w:kern w:val="2"/>
          <w:sz w:val="36"/>
          <w:szCs w:val="36"/>
        </w:rPr>
      </w:pPr>
      <w:r>
        <w:rPr>
          <w:rFonts w:cs="Times New Roman"/>
          <w:snapToGrid w:val="0"/>
          <w:sz w:val="32"/>
          <w:szCs w:val="32"/>
        </w:rPr>
        <w:t>实施塞上绿色攻坚行动，</w:t>
      </w:r>
      <w:r>
        <w:rPr>
          <w:rFonts w:cs="Times New Roman"/>
          <w:kern w:val="2"/>
          <w:sz w:val="32"/>
          <w:szCs w:val="32"/>
        </w:rPr>
        <w:t>强化风沙草滩区、黄土丘陵沟壑区、沿黄土石山区、红碱淖湿地</w:t>
      </w:r>
      <w:r>
        <w:rPr>
          <w:rFonts w:hint="eastAsia" w:cs="Times New Roman"/>
          <w:kern w:val="2"/>
          <w:sz w:val="32"/>
          <w:szCs w:val="32"/>
          <w:lang w:eastAsia="zh-CN"/>
        </w:rPr>
        <w:t>保护区</w:t>
      </w:r>
      <w:r>
        <w:rPr>
          <w:rFonts w:cs="Times New Roman"/>
          <w:kern w:val="2"/>
          <w:sz w:val="32"/>
          <w:szCs w:val="32"/>
        </w:rPr>
        <w:t>等重要</w:t>
      </w:r>
      <w:r>
        <w:rPr>
          <w:rFonts w:hint="eastAsia" w:cs="Times New Roman"/>
          <w:kern w:val="2"/>
          <w:sz w:val="32"/>
          <w:szCs w:val="32"/>
        </w:rPr>
        <w:t>区域</w:t>
      </w:r>
      <w:r>
        <w:rPr>
          <w:rFonts w:cs="Times New Roman"/>
          <w:kern w:val="2"/>
          <w:sz w:val="32"/>
          <w:szCs w:val="32"/>
        </w:rPr>
        <w:t>生态修复</w:t>
      </w:r>
      <w:r>
        <w:rPr>
          <w:rFonts w:hint="eastAsia" w:cs="Times New Roman"/>
          <w:kern w:val="2"/>
          <w:sz w:val="32"/>
          <w:szCs w:val="32"/>
        </w:rPr>
        <w:t>。</w:t>
      </w:r>
      <w:r>
        <w:rPr>
          <w:rFonts w:hint="eastAsia" w:cs="Times New Roman"/>
          <w:kern w:val="2"/>
          <w:sz w:val="32"/>
          <w:szCs w:val="32"/>
          <w:lang w:eastAsia="zh-CN"/>
        </w:rPr>
        <w:t>借鉴“塞罕坝”造林经验，</w:t>
      </w:r>
      <w:r>
        <w:rPr>
          <w:rFonts w:hint="eastAsia" w:cs="Times New Roman"/>
          <w:color w:val="000000"/>
          <w:sz w:val="32"/>
          <w:szCs w:val="32"/>
        </w:rPr>
        <w:t>推进</w:t>
      </w:r>
      <w:r>
        <w:rPr>
          <w:rFonts w:cs="Times New Roman"/>
          <w:color w:val="000000"/>
          <w:sz w:val="32"/>
          <w:szCs w:val="32"/>
        </w:rPr>
        <w:t>京津风沙源治理、中南部镇区规模化碳中和林草场、退耕还林（草）</w:t>
      </w:r>
      <w:r>
        <w:rPr>
          <w:rFonts w:hint="eastAsia" w:cs="Times New Roman"/>
          <w:color w:val="000000"/>
          <w:sz w:val="32"/>
          <w:szCs w:val="32"/>
        </w:rPr>
        <w:t>、</w:t>
      </w:r>
      <w:r>
        <w:rPr>
          <w:rFonts w:cs="Times New Roman"/>
          <w:snapToGrid w:val="0"/>
          <w:sz w:val="32"/>
          <w:szCs w:val="32"/>
        </w:rPr>
        <w:t>矿区复绿</w:t>
      </w:r>
      <w:r>
        <w:rPr>
          <w:rFonts w:cs="Times New Roman"/>
          <w:color w:val="000000"/>
          <w:sz w:val="32"/>
          <w:szCs w:val="32"/>
        </w:rPr>
        <w:t>等林业重点工程，</w:t>
      </w:r>
      <w:r>
        <w:rPr>
          <w:rFonts w:cs="Times New Roman"/>
          <w:sz w:val="32"/>
          <w:szCs w:val="32"/>
        </w:rPr>
        <w:t>实现区域生态功能总体提升</w:t>
      </w:r>
      <w:r>
        <w:rPr>
          <w:rFonts w:cs="Times New Roman"/>
          <w:color w:val="000000"/>
          <w:sz w:val="32"/>
          <w:szCs w:val="32"/>
        </w:rPr>
        <w:t>。</w:t>
      </w:r>
      <w:r>
        <w:rPr>
          <w:rFonts w:hint="eastAsia" w:cs="Times New Roman"/>
          <w:color w:val="000000"/>
          <w:sz w:val="32"/>
          <w:szCs w:val="32"/>
          <w:lang w:eastAsia="zh-CN"/>
        </w:rPr>
        <w:t>全面推行“林长制”，</w:t>
      </w:r>
      <w:r>
        <w:rPr>
          <w:rFonts w:cs="Times New Roman"/>
          <w:snapToGrid w:val="0"/>
          <w:sz w:val="32"/>
          <w:szCs w:val="32"/>
        </w:rPr>
        <w:t>设立林草抚育专项基金，建立林草生态补偿机制</w:t>
      </w:r>
      <w:r>
        <w:rPr>
          <w:rFonts w:hint="eastAsia" w:cs="Times New Roman"/>
          <w:snapToGrid w:val="0"/>
          <w:sz w:val="32"/>
          <w:szCs w:val="32"/>
          <w:lang w:eastAsia="zh-CN"/>
        </w:rPr>
        <w:t>，强化森林资源保护</w:t>
      </w:r>
      <w:r>
        <w:rPr>
          <w:rFonts w:hint="eastAsia" w:cs="Times New Roman"/>
          <w:snapToGrid w:val="0"/>
          <w:sz w:val="32"/>
          <w:szCs w:val="32"/>
        </w:rPr>
        <w:t>。</w:t>
      </w:r>
      <w:r>
        <w:rPr>
          <w:rFonts w:cs="Times New Roman"/>
          <w:snapToGrid w:val="0"/>
          <w:sz w:val="32"/>
          <w:szCs w:val="32"/>
        </w:rPr>
        <w:t>加快布局绿地生态廊道</w:t>
      </w:r>
      <w:r>
        <w:rPr>
          <w:rFonts w:hint="eastAsia" w:cs="Times New Roman"/>
          <w:snapToGrid w:val="0"/>
          <w:sz w:val="32"/>
          <w:szCs w:val="32"/>
        </w:rPr>
        <w:t>，</w:t>
      </w:r>
      <w:r>
        <w:rPr>
          <w:rFonts w:cs="Times New Roman"/>
          <w:snapToGrid w:val="0"/>
          <w:sz w:val="32"/>
          <w:szCs w:val="32"/>
        </w:rPr>
        <w:t>统筹城市近郊农田林网</w:t>
      </w:r>
      <w:r>
        <w:rPr>
          <w:rFonts w:hint="eastAsia" w:cs="Times New Roman"/>
          <w:snapToGrid w:val="0"/>
          <w:sz w:val="32"/>
          <w:szCs w:val="32"/>
        </w:rPr>
        <w:t>，</w:t>
      </w:r>
      <w:r>
        <w:rPr>
          <w:rFonts w:cs="Times New Roman"/>
          <w:snapToGrid w:val="0"/>
          <w:sz w:val="32"/>
          <w:szCs w:val="32"/>
        </w:rPr>
        <w:t>建设石峁文化、麟州寨湿地公园，增加城镇绿化隔离区域</w:t>
      </w:r>
      <w:r>
        <w:rPr>
          <w:rFonts w:hint="eastAsia" w:cs="Times New Roman"/>
          <w:snapToGrid w:val="0"/>
          <w:sz w:val="32"/>
          <w:szCs w:val="32"/>
        </w:rPr>
        <w:t>，</w:t>
      </w:r>
      <w:r>
        <w:rPr>
          <w:rFonts w:cs="Times New Roman"/>
          <w:snapToGrid w:val="0"/>
          <w:sz w:val="32"/>
          <w:szCs w:val="32"/>
        </w:rPr>
        <w:t>打造城镇生态绿肺</w:t>
      </w:r>
      <w:r>
        <w:rPr>
          <w:rFonts w:hint="eastAsia" w:cs="Times New Roman"/>
          <w:snapToGrid w:val="0"/>
          <w:sz w:val="32"/>
          <w:szCs w:val="32"/>
        </w:rPr>
        <w:t>，增</w:t>
      </w:r>
      <w:r>
        <w:rPr>
          <w:rFonts w:cs="Times New Roman"/>
          <w:snapToGrid w:val="0"/>
          <w:sz w:val="32"/>
          <w:szCs w:val="32"/>
        </w:rPr>
        <w:t>加绿色斑块</w:t>
      </w:r>
      <w:r>
        <w:rPr>
          <w:rFonts w:hint="eastAsia" w:cs="Times New Roman"/>
          <w:snapToGrid w:val="0"/>
          <w:sz w:val="32"/>
          <w:szCs w:val="32"/>
        </w:rPr>
        <w:t>，</w:t>
      </w:r>
      <w:r>
        <w:rPr>
          <w:rFonts w:cs="Times New Roman"/>
          <w:snapToGrid w:val="0"/>
          <w:sz w:val="32"/>
          <w:szCs w:val="32"/>
        </w:rPr>
        <w:t>实现道路景观化、荒山生态化、城镇园林化。到2025年，林</w:t>
      </w:r>
      <w:r>
        <w:rPr>
          <w:rFonts w:hint="eastAsia" w:cs="Times New Roman"/>
          <w:snapToGrid w:val="0"/>
          <w:sz w:val="32"/>
          <w:szCs w:val="32"/>
          <w:lang w:eastAsia="zh-CN"/>
        </w:rPr>
        <w:t>木</w:t>
      </w:r>
      <w:r>
        <w:rPr>
          <w:rFonts w:cs="Times New Roman"/>
          <w:snapToGrid w:val="0"/>
          <w:sz w:val="32"/>
          <w:szCs w:val="32"/>
        </w:rPr>
        <w:t>面积达到</w:t>
      </w:r>
      <w:r>
        <w:rPr>
          <w:rFonts w:hint="eastAsia" w:cs="Times New Roman"/>
          <w:snapToGrid w:val="0"/>
          <w:sz w:val="32"/>
          <w:szCs w:val="32"/>
          <w:lang w:val="en-US" w:eastAsia="zh-CN"/>
        </w:rPr>
        <w:t>570</w:t>
      </w:r>
      <w:r>
        <w:rPr>
          <w:rFonts w:cs="Times New Roman"/>
          <w:snapToGrid w:val="0"/>
          <w:sz w:val="32"/>
          <w:szCs w:val="32"/>
        </w:rPr>
        <w:t>万亩，</w:t>
      </w:r>
      <w:r>
        <w:rPr>
          <w:rFonts w:hint="eastAsia" w:cs="Times New Roman"/>
          <w:kern w:val="2"/>
          <w:sz w:val="32"/>
          <w:szCs w:val="32"/>
          <w:lang w:eastAsia="zh-CN"/>
        </w:rPr>
        <w:t>森林</w:t>
      </w:r>
      <w:r>
        <w:rPr>
          <w:rFonts w:cs="Times New Roman"/>
          <w:kern w:val="2"/>
          <w:sz w:val="32"/>
          <w:szCs w:val="32"/>
        </w:rPr>
        <w:t>覆盖率达到45.</w:t>
      </w:r>
      <w:r>
        <w:rPr>
          <w:rFonts w:hint="eastAsia" w:cs="Times New Roman"/>
          <w:kern w:val="2"/>
          <w:sz w:val="32"/>
          <w:szCs w:val="32"/>
          <w:lang w:val="en-US" w:eastAsia="zh-CN"/>
        </w:rPr>
        <w:t>2</w:t>
      </w:r>
      <w:r>
        <w:rPr>
          <w:rFonts w:cs="Times New Roman"/>
          <w:kern w:val="2"/>
          <w:sz w:val="32"/>
          <w:szCs w:val="32"/>
        </w:rPr>
        <w:t>%。</w:t>
      </w:r>
    </w:p>
    <w:tbl>
      <w:tblPr>
        <w:tblStyle w:val="2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8318" w:type="dxa"/>
          </w:tcPr>
          <w:p>
            <w:pPr>
              <w:pStyle w:val="10"/>
              <w:ind w:firstLine="0" w:firstLineChars="0"/>
              <w:jc w:val="both"/>
              <w:rPr>
                <w:rFonts w:cs="Times New Roman"/>
                <w:b/>
                <w:bCs/>
                <w:szCs w:val="28"/>
                <w:shd w:val="clear" w:color="auto" w:fill="FFFFFF"/>
              </w:rPr>
            </w:pPr>
            <w:r>
              <w:rPr>
                <w:rFonts w:hint="eastAsia" w:ascii="黑体" w:hAnsi="黑体" w:eastAsia="黑体" w:cs="黑体"/>
                <w:sz w:val="24"/>
                <w:szCs w:val="24"/>
                <w:lang w:val="en-US" w:eastAsia="zh-CN" w:bidi="ar-SA"/>
              </w:rPr>
              <w:t>专栏17：</w:t>
            </w:r>
            <w:r>
              <w:rPr>
                <w:rFonts w:hint="eastAsia" w:ascii="仿宋_GB2312" w:hAnsi="仿宋_GB2312" w:eastAsia="仿宋_GB2312" w:cs="仿宋_GB2312"/>
                <w:sz w:val="24"/>
                <w:szCs w:val="24"/>
                <w:lang w:val="en-US" w:eastAsia="zh-CN" w:bidi="ar-SA"/>
              </w:rPr>
              <w:t xml:space="preserve"> </w:t>
            </w:r>
            <w:r>
              <w:rPr>
                <w:rFonts w:cs="Times New Roman"/>
                <w:b/>
                <w:bCs/>
                <w:szCs w:val="28"/>
                <w:shd w:val="clear" w:color="auto" w:fill="FFFFFF"/>
              </w:rPr>
              <w:t xml:space="preserve">  </w:t>
            </w:r>
            <w:r>
              <w:rPr>
                <w:rFonts w:cs="Times New Roman"/>
                <w:szCs w:val="28"/>
                <w:shd w:val="clear" w:color="auto" w:fill="FFFFFF"/>
              </w:rPr>
              <w:t xml:space="preserve"> </w:t>
            </w:r>
            <w:r>
              <w:rPr>
                <w:rFonts w:cs="Times New Roman"/>
                <w:sz w:val="32"/>
                <w:szCs w:val="32"/>
                <w:shd w:val="clear" w:color="auto" w:fill="FFFFFF"/>
              </w:rPr>
              <w:t xml:space="preserve">            </w:t>
            </w:r>
            <w:r>
              <w:rPr>
                <w:rFonts w:cs="Times New Roman"/>
                <w:b/>
                <w:bCs/>
                <w:szCs w:val="28"/>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黑体" w:hAnsi="黑体" w:eastAsia="黑体" w:cs="黑体"/>
                <w:b w:val="0"/>
                <w:bCs w:val="0"/>
                <w:szCs w:val="28"/>
                <w:shd w:val="clear" w:color="auto" w:fill="FFFFFF"/>
              </w:rPr>
            </w:pPr>
            <w:r>
              <w:rPr>
                <w:rFonts w:hint="eastAsia" w:ascii="黑体" w:hAnsi="黑体" w:eastAsia="黑体" w:cs="黑体"/>
                <w:b w:val="0"/>
                <w:bCs w:val="0"/>
                <w:szCs w:val="28"/>
                <w:shd w:val="clear" w:color="auto" w:fill="FFFFFF"/>
              </w:rPr>
              <w:t>塞上绿色行动重点工程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造林工程：</w:t>
            </w:r>
            <w:r>
              <w:rPr>
                <w:rFonts w:hint="eastAsia" w:ascii="仿宋_GB2312" w:hAnsi="仿宋_GB2312" w:eastAsia="仿宋_GB2312" w:cs="仿宋_GB2312"/>
                <w:sz w:val="24"/>
                <w:szCs w:val="24"/>
              </w:rPr>
              <w:t>国家储备林基地10万亩</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三北防护林10万亩、天然林保护2.5万亩、臭柏自然资源保护区造林5万亩</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欧洲投资银行贷款陕西生态造林、绿色通道、黄土丘陵区飞播造林、绿色长城防护林带</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生态治理：</w:t>
            </w:r>
            <w:r>
              <w:rPr>
                <w:rFonts w:hint="eastAsia" w:ascii="仿宋_GB2312" w:hAnsi="仿宋_GB2312" w:eastAsia="仿宋_GB2312" w:cs="仿宋_GB2312"/>
                <w:sz w:val="24"/>
                <w:szCs w:val="24"/>
              </w:rPr>
              <w:t>矿区生态修复治理25万亩、沿黄土石山区生态治理4万亩、京津风沙源治理55万亩、湿地生态修复</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林场建设：</w:t>
            </w:r>
            <w:r>
              <w:rPr>
                <w:rFonts w:hint="eastAsia" w:ascii="仿宋_GB2312" w:hAnsi="仿宋_GB2312" w:eastAsia="仿宋_GB2312" w:cs="仿宋_GB2312"/>
                <w:sz w:val="24"/>
                <w:szCs w:val="24"/>
              </w:rPr>
              <w:t>中南部规模化碳汇林草场和国有林场40万亩</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经</w:t>
            </w:r>
            <w:r>
              <w:rPr>
                <w:rFonts w:hint="eastAsia" w:ascii="楷体_GB2312" w:hAnsi="楷体_GB2312" w:eastAsia="楷体_GB2312" w:cs="楷体_GB2312"/>
                <w:b/>
                <w:bCs/>
                <w:sz w:val="24"/>
                <w:szCs w:val="24"/>
              </w:rPr>
              <w:t>济林建设：</w:t>
            </w:r>
            <w:r>
              <w:rPr>
                <w:rFonts w:hint="eastAsia" w:ascii="仿宋_GB2312" w:hAnsi="仿宋_GB2312" w:eastAsia="仿宋_GB2312" w:cs="仿宋_GB2312"/>
                <w:sz w:val="24"/>
                <w:szCs w:val="24"/>
              </w:rPr>
              <w:t>经济林果基地建设5万亩</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低效防护林经济林改造提升</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中药材种植基地5万亩</w:t>
            </w:r>
            <w:r>
              <w:rPr>
                <w:rFonts w:hint="eastAsia" w:ascii="仿宋_GB2312" w:hAnsi="仿宋_GB2312" w:cs="仿宋_GB2312"/>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shd w:val="clear" w:color="auto" w:fill="FFFFFF"/>
              </w:rPr>
              <w:t>美丽乡村绿化工程：</w:t>
            </w:r>
            <w:r>
              <w:rPr>
                <w:rFonts w:hint="eastAsia" w:ascii="仿宋_GB2312" w:hAnsi="仿宋_GB2312" w:eastAsia="仿宋_GB2312" w:cs="仿宋_GB2312"/>
                <w:sz w:val="24"/>
                <w:szCs w:val="24"/>
                <w:shd w:val="clear" w:color="auto" w:fill="FFFFFF"/>
              </w:rPr>
              <w:t>50个村庄</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cs="Times New Roman" w:eastAsiaTheme="minorEastAsia"/>
                <w:sz w:val="24"/>
                <w:szCs w:val="24"/>
                <w:shd w:val="clear" w:color="auto" w:fill="FFFFFF"/>
              </w:rPr>
            </w:pPr>
            <w:r>
              <w:rPr>
                <w:rFonts w:hint="eastAsia" w:ascii="楷体_GB2312" w:hAnsi="楷体_GB2312" w:eastAsia="楷体_GB2312" w:cs="楷体_GB2312"/>
                <w:b/>
                <w:bCs/>
                <w:sz w:val="24"/>
                <w:szCs w:val="24"/>
                <w:shd w:val="clear" w:color="auto" w:fill="FFFFFF"/>
              </w:rPr>
              <w:t>工矿企业碳汇工程：</w:t>
            </w:r>
            <w:r>
              <w:rPr>
                <w:rFonts w:hint="eastAsia" w:ascii="仿宋_GB2312" w:hAnsi="仿宋_GB2312" w:eastAsia="仿宋_GB2312" w:cs="仿宋_GB2312"/>
                <w:sz w:val="24"/>
                <w:szCs w:val="24"/>
                <w:shd w:val="clear" w:color="auto" w:fill="FFFFFF"/>
              </w:rPr>
              <w:t>北部矿产开发企业到南部水土流失敏感区开展造林绿化工程，火电企业到南部开展碳汇林建设。</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97" w:name="_Toc2967"/>
      <w:bookmarkStart w:id="98" w:name="_Toc20091"/>
      <w:r>
        <w:rPr>
          <w:rFonts w:hint="eastAsia" w:ascii="楷体_GB2312" w:hAnsi="楷体_GB2312" w:eastAsia="楷体_GB2312" w:cs="楷体_GB2312"/>
          <w:bCs/>
          <w:sz w:val="32"/>
          <w:szCs w:val="32"/>
        </w:rPr>
        <w:t>第四节 强化大气、水、土壤污染防治</w:t>
      </w:r>
      <w:bookmarkEnd w:id="97"/>
      <w:bookmarkEnd w:id="98"/>
    </w:p>
    <w:p>
      <w:pPr>
        <w:keepNext w:val="0"/>
        <w:keepLines w:val="0"/>
        <w:pageBreakBefore w:val="0"/>
        <w:widowControl/>
        <w:kinsoku/>
        <w:wordWrap/>
        <w:overflowPunct/>
        <w:topLinePunct w:val="0"/>
        <w:autoSpaceDE/>
        <w:autoSpaceDN/>
        <w:bidi w:val="0"/>
        <w:adjustRightInd w:val="0"/>
        <w:snapToGrid w:val="0"/>
        <w:spacing w:line="600" w:lineRule="exact"/>
        <w:ind w:firstLine="640"/>
        <w:jc w:val="both"/>
        <w:textAlignment w:val="auto"/>
        <w:rPr>
          <w:rFonts w:hint="eastAsia" w:cs="Times New Roman"/>
          <w:color w:val="000000"/>
          <w:sz w:val="31"/>
          <w:szCs w:val="31"/>
          <w:lang w:eastAsia="zh-CN" w:bidi="ar"/>
        </w:rPr>
      </w:pPr>
      <w:r>
        <w:rPr>
          <w:rFonts w:cs="Times New Roman"/>
          <w:b/>
          <w:bCs/>
          <w:color w:val="000000"/>
          <w:sz w:val="32"/>
          <w:szCs w:val="32"/>
        </w:rPr>
        <w:t>持续改善大气环境。</w:t>
      </w:r>
      <w:r>
        <w:rPr>
          <w:rFonts w:cs="Times New Roman"/>
          <w:sz w:val="32"/>
          <w:szCs w:val="32"/>
        </w:rPr>
        <w:t>编制大气污染源排放清单，开展污染防治重大专项行动，强化污染物协同控制，基本消除重污染天气。</w:t>
      </w:r>
      <w:r>
        <w:rPr>
          <w:rFonts w:cs="Times New Roman"/>
          <w:color w:val="000000"/>
          <w:sz w:val="32"/>
          <w:szCs w:val="32"/>
        </w:rPr>
        <w:t>加大工业面源污染防控，</w:t>
      </w:r>
      <w:r>
        <w:rPr>
          <w:rFonts w:hint="eastAsia" w:cs="Times New Roman"/>
          <w:color w:val="000000"/>
          <w:sz w:val="32"/>
          <w:szCs w:val="32"/>
        </w:rPr>
        <w:t>推进</w:t>
      </w:r>
      <w:r>
        <w:rPr>
          <w:rFonts w:cs="Times New Roman"/>
          <w:color w:val="000000"/>
          <w:sz w:val="32"/>
          <w:szCs w:val="32"/>
        </w:rPr>
        <w:t>兰炭、载能、建材等污染治理升级改造，严控生产、储存、运输等环节无组织排放。持续推进工业炉窑燃料清洁化替代，鼓励余热余能、清洁低碳能源替代煤、渣油、重油等燃料。加大挥发性有机物监测，</w:t>
      </w:r>
      <w:r>
        <w:rPr>
          <w:rFonts w:hint="eastAsia" w:cs="Times New Roman"/>
          <w:color w:val="000000"/>
          <w:sz w:val="32"/>
          <w:szCs w:val="32"/>
        </w:rPr>
        <w:t>在产业</w:t>
      </w:r>
      <w:r>
        <w:rPr>
          <w:rFonts w:cs="Times New Roman"/>
          <w:color w:val="000000"/>
          <w:sz w:val="32"/>
          <w:szCs w:val="32"/>
        </w:rPr>
        <w:t>园区建成挥发性有机物空气质量自动监测站。大力推广使用新能源汽车，</w:t>
      </w:r>
      <w:r>
        <w:rPr>
          <w:rFonts w:hint="eastAsia" w:cs="Times New Roman"/>
          <w:color w:val="000000"/>
          <w:sz w:val="32"/>
          <w:szCs w:val="32"/>
        </w:rPr>
        <w:t>减少</w:t>
      </w:r>
      <w:r>
        <w:rPr>
          <w:rFonts w:cs="Times New Roman"/>
          <w:color w:val="000000"/>
          <w:sz w:val="32"/>
          <w:szCs w:val="32"/>
        </w:rPr>
        <w:t>机动车尾气排放</w:t>
      </w:r>
      <w:r>
        <w:rPr>
          <w:rFonts w:hint="eastAsia" w:cs="Times New Roman"/>
          <w:color w:val="000000"/>
          <w:sz w:val="32"/>
          <w:szCs w:val="32"/>
        </w:rPr>
        <w:t>。</w:t>
      </w:r>
      <w:r>
        <w:rPr>
          <w:rFonts w:cs="Times New Roman"/>
          <w:color w:val="000000"/>
          <w:sz w:val="31"/>
          <w:szCs w:val="31"/>
          <w:lang w:bidi="ar"/>
        </w:rPr>
        <w:t>中心城区和重点镇全面禁烧烟煤</w:t>
      </w:r>
      <w:r>
        <w:rPr>
          <w:rFonts w:hint="eastAsia" w:cs="Times New Roman"/>
          <w:color w:val="000000"/>
          <w:sz w:val="31"/>
          <w:szCs w:val="31"/>
          <w:lang w:bidi="ar"/>
        </w:rPr>
        <w:t>、禁止燃放烟花爆竹</w:t>
      </w:r>
      <w:r>
        <w:rPr>
          <w:rFonts w:cs="Times New Roman"/>
          <w:color w:val="000000"/>
          <w:sz w:val="31"/>
          <w:szCs w:val="31"/>
          <w:lang w:bidi="ar"/>
        </w:rPr>
        <w:t>。</w:t>
      </w:r>
      <w:r>
        <w:rPr>
          <w:rFonts w:cs="Times New Roman"/>
          <w:color w:val="000000"/>
          <w:sz w:val="32"/>
          <w:szCs w:val="32"/>
        </w:rPr>
        <w:t>到2</w:t>
      </w:r>
      <w:r>
        <w:rPr>
          <w:rFonts w:cs="Times New Roman"/>
          <w:color w:val="000000"/>
          <w:sz w:val="31"/>
          <w:szCs w:val="31"/>
          <w:lang w:bidi="ar"/>
        </w:rPr>
        <w:t>025 年，</w:t>
      </w:r>
      <w:r>
        <w:rPr>
          <w:rFonts w:hint="eastAsia" w:cs="Times New Roman"/>
          <w:color w:val="000000"/>
          <w:sz w:val="31"/>
          <w:szCs w:val="31"/>
          <w:lang w:eastAsia="zh-CN" w:bidi="ar"/>
        </w:rPr>
        <w:t>空气质量六项指标年均值全部达到国家二级标准，</w:t>
      </w:r>
      <w:r>
        <w:rPr>
          <w:rFonts w:cs="Times New Roman"/>
          <w:color w:val="000000"/>
          <w:sz w:val="31"/>
          <w:szCs w:val="31"/>
          <w:lang w:bidi="ar"/>
        </w:rPr>
        <w:t>化学需氧量、氨氮排放总量比2020 年减少10%以上</w:t>
      </w:r>
      <w:r>
        <w:rPr>
          <w:rFonts w:hint="eastAsia" w:cs="Times New Roman"/>
          <w:color w:val="000000"/>
          <w:sz w:val="31"/>
          <w:szCs w:val="31"/>
          <w:lang w:eastAsia="zh-CN" w:bidi="ar"/>
        </w:rPr>
        <w:t>。</w:t>
      </w:r>
    </w:p>
    <w:p>
      <w:pPr>
        <w:keepNext w:val="0"/>
        <w:keepLines w:val="0"/>
        <w:pageBreakBefore w:val="0"/>
        <w:widowControl/>
        <w:kinsoku/>
        <w:wordWrap/>
        <w:overflowPunct/>
        <w:topLinePunct w:val="0"/>
        <w:autoSpaceDE/>
        <w:autoSpaceDN/>
        <w:bidi w:val="0"/>
        <w:adjustRightInd w:val="0"/>
        <w:snapToGrid w:val="0"/>
        <w:spacing w:line="600" w:lineRule="exact"/>
        <w:ind w:firstLine="640"/>
        <w:jc w:val="both"/>
        <w:textAlignment w:val="auto"/>
        <w:rPr>
          <w:rFonts w:cs="Times New Roman"/>
          <w:sz w:val="32"/>
          <w:szCs w:val="32"/>
        </w:rPr>
      </w:pPr>
      <w:r>
        <w:rPr>
          <w:rFonts w:cs="Times New Roman"/>
          <w:b/>
          <w:bCs/>
          <w:kern w:val="2"/>
          <w:sz w:val="32"/>
          <w:szCs w:val="32"/>
        </w:rPr>
        <w:t>严格水生态环境治理。</w:t>
      </w:r>
      <w:r>
        <w:rPr>
          <w:rFonts w:cs="Times New Roman"/>
          <w:color w:val="000000"/>
          <w:sz w:val="31"/>
          <w:szCs w:val="31"/>
          <w:lang w:bidi="ar"/>
        </w:rPr>
        <w:t>推进水源地规范化建设，开展集中式饮用水水源地环境风险评估，划定农村集中式饮用水水源地保护区，强化预防和整治，确保饮用水安全。</w:t>
      </w:r>
      <w:r>
        <w:rPr>
          <w:rFonts w:cs="Times New Roman"/>
          <w:color w:val="000000"/>
          <w:sz w:val="32"/>
          <w:szCs w:val="32"/>
          <w:lang w:bidi="ar"/>
        </w:rPr>
        <w:t>开展地下水污染调查，建立地下水质动态监测系统</w:t>
      </w:r>
      <w:r>
        <w:rPr>
          <w:rFonts w:hint="eastAsia" w:cs="Times New Roman"/>
          <w:color w:val="000000"/>
          <w:sz w:val="32"/>
          <w:szCs w:val="32"/>
          <w:lang w:bidi="ar"/>
        </w:rPr>
        <w:t>。</w:t>
      </w:r>
      <w:r>
        <w:rPr>
          <w:rFonts w:hint="eastAsia" w:cs="Times New Roman"/>
          <w:color w:val="000000"/>
          <w:sz w:val="31"/>
          <w:szCs w:val="31"/>
          <w:lang w:bidi="ar"/>
        </w:rPr>
        <w:t>加强</w:t>
      </w:r>
      <w:r>
        <w:rPr>
          <w:rFonts w:cs="Times New Roman"/>
          <w:color w:val="000000"/>
          <w:sz w:val="32"/>
          <w:szCs w:val="32"/>
          <w:lang w:bidi="ar"/>
        </w:rPr>
        <w:t>“排污源</w:t>
      </w:r>
      <w:r>
        <w:rPr>
          <w:rFonts w:hint="eastAsia" w:cs="Times New Roman"/>
          <w:color w:val="000000"/>
          <w:sz w:val="32"/>
          <w:szCs w:val="32"/>
          <w:lang w:bidi="ar"/>
        </w:rPr>
        <w:t>—</w:t>
      </w:r>
      <w:r>
        <w:rPr>
          <w:rFonts w:cs="Times New Roman"/>
          <w:color w:val="000000"/>
          <w:sz w:val="32"/>
          <w:szCs w:val="32"/>
          <w:lang w:bidi="ar"/>
        </w:rPr>
        <w:t>排污管线</w:t>
      </w:r>
      <w:r>
        <w:rPr>
          <w:rFonts w:hint="eastAsia" w:cs="Times New Roman"/>
          <w:color w:val="000000"/>
          <w:sz w:val="32"/>
          <w:szCs w:val="32"/>
          <w:lang w:bidi="ar"/>
        </w:rPr>
        <w:t>—</w:t>
      </w:r>
      <w:r>
        <w:rPr>
          <w:rFonts w:cs="Times New Roman"/>
          <w:color w:val="000000"/>
          <w:sz w:val="32"/>
          <w:szCs w:val="32"/>
          <w:lang w:bidi="ar"/>
        </w:rPr>
        <w:t>入河排污口</w:t>
      </w:r>
      <w:r>
        <w:rPr>
          <w:rFonts w:hint="eastAsia" w:cs="Times New Roman"/>
          <w:color w:val="000000"/>
          <w:sz w:val="32"/>
          <w:szCs w:val="32"/>
          <w:lang w:bidi="ar"/>
        </w:rPr>
        <w:t>—</w:t>
      </w:r>
      <w:r>
        <w:rPr>
          <w:rFonts w:cs="Times New Roman"/>
          <w:color w:val="000000"/>
          <w:sz w:val="32"/>
          <w:szCs w:val="32"/>
          <w:lang w:bidi="ar"/>
        </w:rPr>
        <w:t>排污水体”全</w:t>
      </w:r>
      <w:r>
        <w:rPr>
          <w:rFonts w:hint="eastAsia" w:cs="Times New Roman"/>
          <w:color w:val="000000"/>
          <w:sz w:val="32"/>
          <w:szCs w:val="32"/>
          <w:lang w:bidi="ar"/>
        </w:rPr>
        <w:t>程监管</w:t>
      </w:r>
      <w:r>
        <w:rPr>
          <w:rFonts w:cs="Times New Roman"/>
          <w:color w:val="000000"/>
          <w:sz w:val="32"/>
          <w:szCs w:val="32"/>
          <w:lang w:bidi="ar"/>
        </w:rPr>
        <w:t>，</w:t>
      </w:r>
      <w:r>
        <w:rPr>
          <w:rFonts w:hint="eastAsia" w:cs="Times New Roman"/>
          <w:color w:val="000000"/>
          <w:sz w:val="31"/>
          <w:szCs w:val="31"/>
          <w:lang w:bidi="ar"/>
        </w:rPr>
        <w:t>强化</w:t>
      </w:r>
      <w:r>
        <w:rPr>
          <w:rFonts w:cs="Times New Roman"/>
          <w:color w:val="000000"/>
          <w:sz w:val="31"/>
          <w:szCs w:val="31"/>
          <w:lang w:bidi="ar"/>
        </w:rPr>
        <w:t>河道、湖库及周边经营性场所排污整治</w:t>
      </w:r>
      <w:r>
        <w:rPr>
          <w:rFonts w:hint="eastAsia" w:cs="Times New Roman"/>
          <w:color w:val="000000"/>
          <w:sz w:val="31"/>
          <w:szCs w:val="31"/>
          <w:lang w:bidi="ar"/>
        </w:rPr>
        <w:t>。</w:t>
      </w:r>
      <w:r>
        <w:rPr>
          <w:rFonts w:cs="Times New Roman"/>
          <w:color w:val="000000"/>
          <w:sz w:val="32"/>
          <w:szCs w:val="32"/>
          <w:lang w:bidi="ar"/>
        </w:rPr>
        <w:t>全面推进城镇污水处理设施建设</w:t>
      </w:r>
      <w:r>
        <w:rPr>
          <w:rFonts w:hint="eastAsia" w:cs="Times New Roman"/>
          <w:color w:val="000000"/>
          <w:sz w:val="32"/>
          <w:szCs w:val="32"/>
          <w:lang w:bidi="ar"/>
        </w:rPr>
        <w:t>和</w:t>
      </w:r>
      <w:r>
        <w:rPr>
          <w:rFonts w:cs="Times New Roman"/>
          <w:color w:val="000000"/>
          <w:sz w:val="32"/>
          <w:szCs w:val="32"/>
          <w:lang w:bidi="ar"/>
        </w:rPr>
        <w:t>提标改造，城镇污水处理厂污泥无害化处置率达100%。</w:t>
      </w:r>
    </w:p>
    <w:p>
      <w:pPr>
        <w:keepNext w:val="0"/>
        <w:keepLines w:val="0"/>
        <w:pageBreakBefore w:val="0"/>
        <w:kinsoku/>
        <w:wordWrap/>
        <w:overflowPunct/>
        <w:topLinePunct w:val="0"/>
        <w:autoSpaceDE/>
        <w:autoSpaceDN/>
        <w:bidi w:val="0"/>
        <w:adjustRightInd w:val="0"/>
        <w:snapToGrid w:val="0"/>
        <w:spacing w:line="600" w:lineRule="exact"/>
        <w:ind w:firstLine="640"/>
        <w:jc w:val="both"/>
        <w:textAlignment w:val="auto"/>
        <w:rPr>
          <w:rFonts w:cs="Times New Roman"/>
          <w:color w:val="000000"/>
          <w:sz w:val="31"/>
          <w:szCs w:val="31"/>
          <w:lang w:bidi="ar"/>
        </w:rPr>
      </w:pPr>
      <w:r>
        <w:rPr>
          <w:rFonts w:cs="Times New Roman"/>
          <w:b/>
          <w:bCs/>
          <w:kern w:val="2"/>
          <w:sz w:val="32"/>
          <w:szCs w:val="32"/>
        </w:rPr>
        <w:t>强化土壤污染源头管控。</w:t>
      </w:r>
      <w:r>
        <w:rPr>
          <w:rFonts w:cs="Times New Roman"/>
          <w:color w:val="000000"/>
          <w:sz w:val="31"/>
          <w:szCs w:val="31"/>
          <w:lang w:bidi="ar"/>
        </w:rPr>
        <w:t>全面落实“土十条”</w:t>
      </w:r>
      <w:r>
        <w:rPr>
          <w:rStyle w:val="37"/>
          <w:rFonts w:cs="Times New Roman"/>
          <w:color w:val="000000"/>
          <w:sz w:val="31"/>
          <w:szCs w:val="31"/>
          <w:lang w:bidi="ar"/>
        </w:rPr>
        <w:footnoteReference w:id="20"/>
      </w:r>
      <w:r>
        <w:rPr>
          <w:rFonts w:cs="Times New Roman"/>
          <w:color w:val="000000"/>
          <w:sz w:val="31"/>
          <w:szCs w:val="31"/>
          <w:lang w:bidi="ar"/>
        </w:rPr>
        <w:t>，突出资源开发等重点区域排查整治，开展矿区土壤污染治理，坚决遏制固废、危废非法转移、倾倒和利用。推行垃圾分类，实现垃圾分类全覆盖。实施农用地土壤环境分级分类管理，</w:t>
      </w:r>
      <w:r>
        <w:rPr>
          <w:rFonts w:cs="Times New Roman"/>
          <w:sz w:val="32"/>
          <w:szCs w:val="32"/>
        </w:rPr>
        <w:t>加强农业面源污染防治，</w:t>
      </w:r>
      <w:r>
        <w:rPr>
          <w:rFonts w:cs="Times New Roman"/>
          <w:color w:val="000000"/>
          <w:sz w:val="31"/>
          <w:szCs w:val="31"/>
          <w:lang w:bidi="ar"/>
        </w:rPr>
        <w:t>严控化肥、农药、农膜等污染</w:t>
      </w:r>
      <w:r>
        <w:rPr>
          <w:rFonts w:hint="eastAsia" w:cs="Times New Roman"/>
          <w:color w:val="000000"/>
          <w:sz w:val="31"/>
          <w:szCs w:val="31"/>
          <w:lang w:bidi="ar"/>
        </w:rPr>
        <w:t>，</w:t>
      </w:r>
      <w:r>
        <w:rPr>
          <w:rFonts w:hint="eastAsia" w:cs="Times New Roman"/>
          <w:color w:val="000000"/>
          <w:sz w:val="31"/>
          <w:szCs w:val="31"/>
          <w:lang w:eastAsia="zh-CN" w:bidi="ar"/>
        </w:rPr>
        <w:t>推广可降解农膜使用，</w:t>
      </w:r>
      <w:r>
        <w:rPr>
          <w:rFonts w:cs="Times New Roman"/>
          <w:sz w:val="32"/>
          <w:szCs w:val="32"/>
        </w:rPr>
        <w:t>农膜回收率达到80%。</w:t>
      </w:r>
      <w:r>
        <w:rPr>
          <w:rFonts w:cs="Times New Roman"/>
          <w:color w:val="000000"/>
          <w:sz w:val="31"/>
          <w:szCs w:val="31"/>
          <w:lang w:bidi="ar"/>
        </w:rPr>
        <w:t>继续推进畜禽粪污资源化利用，畜禽粪污综合利用率达到100%，规模养殖场粪污处理设施配套率达到100%。</w:t>
      </w:r>
    </w:p>
    <w:tbl>
      <w:tblPr>
        <w:tblStyle w:val="25"/>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77" w:type="dxa"/>
          </w:tcPr>
          <w:p>
            <w:pPr>
              <w:pStyle w:val="10"/>
              <w:ind w:firstLine="0" w:firstLineChars="0"/>
              <w:jc w:val="both"/>
              <w:rPr>
                <w:rFonts w:cs="Times New Roman"/>
                <w:b/>
                <w:bCs/>
                <w:szCs w:val="28"/>
                <w:shd w:val="clear" w:color="auto" w:fill="FFFFFF"/>
              </w:rPr>
            </w:pPr>
            <w:r>
              <w:rPr>
                <w:rFonts w:hint="eastAsia" w:ascii="黑体" w:hAnsi="黑体" w:eastAsia="黑体" w:cs="黑体"/>
                <w:sz w:val="24"/>
                <w:szCs w:val="24"/>
                <w:lang w:val="en-US" w:eastAsia="zh-CN" w:bidi="ar-SA"/>
              </w:rPr>
              <w:t>专栏18：</w:t>
            </w:r>
            <w:r>
              <w:rPr>
                <w:rFonts w:hint="eastAsia" w:ascii="黑体" w:hAnsi="黑体" w:eastAsia="黑体" w:cs="黑体"/>
                <w:b w:val="0"/>
                <w:bCs w:val="0"/>
                <w:sz w:val="24"/>
                <w:szCs w:val="24"/>
                <w:shd w:val="clear" w:color="auto" w:fill="FFFFFF"/>
              </w:rPr>
              <w:t xml:space="preserve"> </w:t>
            </w:r>
            <w:r>
              <w:rPr>
                <w:rFonts w:hint="eastAsia" w:ascii="仿宋_GB2312" w:hAnsi="仿宋_GB2312" w:eastAsia="仿宋_GB2312" w:cs="仿宋_GB2312"/>
                <w:b w:val="0"/>
                <w:bCs w:val="0"/>
                <w:szCs w:val="28"/>
                <w:shd w:val="clear" w:color="auto" w:fill="FFFFFF"/>
              </w:rPr>
              <w:t xml:space="preserve"> </w:t>
            </w:r>
            <w:r>
              <w:rPr>
                <w:rFonts w:cs="Times New Roman"/>
                <w:b/>
                <w:bCs/>
                <w:szCs w:val="28"/>
                <w:shd w:val="clear" w:color="auto" w:fill="FFFFFF"/>
              </w:rPr>
              <w:t xml:space="preserve"> </w:t>
            </w:r>
            <w:r>
              <w:rPr>
                <w:rFonts w:cs="Times New Roman"/>
                <w:szCs w:val="28"/>
                <w:shd w:val="clear" w:color="auto" w:fill="FFFFFF"/>
              </w:rPr>
              <w:t xml:space="preserve"> </w:t>
            </w:r>
            <w:r>
              <w:rPr>
                <w:rFonts w:cs="Times New Roman"/>
                <w:sz w:val="32"/>
                <w:szCs w:val="32"/>
                <w:shd w:val="clear" w:color="auto" w:fill="FFFFFF"/>
              </w:rPr>
              <w:t xml:space="preserve">            </w:t>
            </w:r>
            <w:r>
              <w:rPr>
                <w:rFonts w:cs="Times New Roman"/>
                <w:b/>
                <w:bCs/>
                <w:szCs w:val="28"/>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cs="Times New Roman"/>
                <w:b/>
                <w:bCs/>
                <w:szCs w:val="28"/>
                <w:shd w:val="clear" w:color="auto" w:fill="FFFFFF"/>
              </w:rPr>
            </w:pPr>
            <w:r>
              <w:rPr>
                <w:rFonts w:hint="eastAsia" w:ascii="黑体" w:hAnsi="黑体" w:eastAsia="黑体" w:cs="黑体"/>
                <w:b w:val="0"/>
                <w:bCs w:val="0"/>
                <w:sz w:val="28"/>
                <w:szCs w:val="28"/>
                <w:shd w:val="clear" w:color="auto" w:fill="FFFFFF"/>
              </w:rPr>
              <w:t>污染防治重点工程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shd w:val="clear" w:color="auto" w:fill="FFFFFF"/>
              </w:rPr>
              <w:t>大气污染治理</w:t>
            </w:r>
            <w:r>
              <w:rPr>
                <w:rFonts w:hint="eastAsia" w:ascii="楷体_GB2312" w:hAnsi="楷体_GB2312" w:eastAsia="楷体_GB2312" w:cs="楷体_GB2312"/>
                <w:sz w:val="24"/>
                <w:szCs w:val="24"/>
                <w:shd w:val="clear" w:color="auto" w:fill="FFFFFF"/>
              </w:rPr>
              <w:t>：</w:t>
            </w:r>
            <w:r>
              <w:rPr>
                <w:rFonts w:hint="eastAsia" w:ascii="仿宋_GB2312" w:hAnsi="仿宋_GB2312" w:eastAsia="仿宋_GB2312" w:cs="仿宋_GB2312"/>
                <w:sz w:val="24"/>
                <w:szCs w:val="24"/>
                <w:shd w:val="clear" w:color="auto" w:fill="FFFFFF"/>
              </w:rPr>
              <w:t>兰炭、火电等企业脱硫脱硝设施建设；燃煤机组超低排放和节能改造</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shd w:val="clear" w:color="auto" w:fill="FFFFFF"/>
              </w:rPr>
              <w:t>流域综合治理：</w:t>
            </w:r>
            <w:r>
              <w:rPr>
                <w:rFonts w:hint="eastAsia" w:ascii="仿宋_GB2312" w:hAnsi="仿宋_GB2312" w:eastAsia="仿宋_GB2312" w:cs="仿宋_GB2312"/>
                <w:sz w:val="24"/>
                <w:szCs w:val="24"/>
                <w:shd w:val="clear" w:color="auto" w:fill="FFFFFF"/>
              </w:rPr>
              <w:t>窟野河、秃尾河河道综合整治及流域内垃圾污水设施建设工程</w:t>
            </w:r>
            <w:r>
              <w:rPr>
                <w:rFonts w:hint="eastAsia" w:ascii="仿宋_GB2312" w:hAnsi="仿宋_GB2312" w:cs="仿宋_GB2312"/>
                <w:sz w:val="24"/>
                <w:szCs w:val="24"/>
                <w:shd w:val="clear" w:color="auto" w:fill="FFFFFF"/>
                <w:lang w:eastAsia="zh-CN"/>
              </w:rPr>
              <w:t>；</w:t>
            </w:r>
            <w:r>
              <w:rPr>
                <w:rFonts w:hint="eastAsia" w:ascii="仿宋_GB2312" w:hAnsi="仿宋_GB2312" w:eastAsia="仿宋_GB2312" w:cs="仿宋_GB2312"/>
                <w:sz w:val="24"/>
                <w:szCs w:val="24"/>
                <w:shd w:val="clear" w:color="auto" w:fill="FFFFFF"/>
              </w:rPr>
              <w:t>油气开采水污染治理</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shd w:val="clear" w:color="auto" w:fill="FFFFFF"/>
              </w:rPr>
              <w:t>土壤保护和改良工程：</w:t>
            </w:r>
            <w:r>
              <w:rPr>
                <w:rFonts w:hint="eastAsia" w:ascii="仿宋_GB2312" w:hAnsi="仿宋_GB2312" w:eastAsia="仿宋_GB2312" w:cs="仿宋_GB2312"/>
                <w:sz w:val="24"/>
                <w:szCs w:val="24"/>
                <w:shd w:val="clear" w:color="auto" w:fill="FFFFFF"/>
              </w:rPr>
              <w:t>盐碱地综合治理示范项目、测土配方工程、生态沟渠工程、工矿废弃用地土壤修复</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shd w:val="clear" w:color="auto" w:fill="FFFFFF"/>
              </w:rPr>
              <w:t>水资源保护和污染防治</w:t>
            </w:r>
            <w:r>
              <w:rPr>
                <w:rFonts w:hint="eastAsia" w:ascii="楷体_GB2312" w:hAnsi="楷体_GB2312" w:eastAsia="楷体_GB2312" w:cs="楷体_GB2312"/>
                <w:sz w:val="24"/>
                <w:szCs w:val="24"/>
                <w:shd w:val="clear" w:color="auto" w:fill="FFFFFF"/>
              </w:rPr>
              <w:t>：</w:t>
            </w:r>
            <w:r>
              <w:rPr>
                <w:rFonts w:hint="eastAsia" w:ascii="仿宋_GB2312" w:hAnsi="仿宋_GB2312" w:eastAsia="仿宋_GB2312" w:cs="仿宋_GB2312"/>
                <w:sz w:val="24"/>
                <w:szCs w:val="24"/>
                <w:shd w:val="clear" w:color="auto" w:fill="FFFFFF"/>
              </w:rPr>
              <w:t>饮用水源地保护工程建设；报废矿井、钻井、取水井封井回填工程；地下水污染修复试点项目。城镇污水处理厂和配套管网建设、工业园区污水处理设施等项目</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2"/>
              <w:jc w:val="both"/>
              <w:textAlignment w:val="auto"/>
              <w:rPr>
                <w:rFonts w:cs="Times New Roman" w:eastAsiaTheme="minorEastAsia"/>
                <w:sz w:val="24"/>
                <w:szCs w:val="24"/>
                <w:shd w:val="clear" w:color="auto" w:fill="FFFFFF"/>
              </w:rPr>
            </w:pPr>
            <w:r>
              <w:rPr>
                <w:rFonts w:hint="eastAsia" w:ascii="楷体_GB2312" w:hAnsi="楷体_GB2312" w:eastAsia="楷体_GB2312" w:cs="楷体_GB2312"/>
                <w:b/>
                <w:bCs/>
                <w:sz w:val="24"/>
                <w:szCs w:val="24"/>
                <w:shd w:val="clear" w:color="auto" w:fill="FFFFFF"/>
              </w:rPr>
              <w:t>环境监管能力建设工程：</w:t>
            </w:r>
            <w:r>
              <w:rPr>
                <w:rFonts w:hint="eastAsia" w:ascii="仿宋_GB2312" w:hAnsi="仿宋_GB2312" w:eastAsia="仿宋_GB2312" w:cs="仿宋_GB2312"/>
                <w:b/>
                <w:bCs/>
                <w:sz w:val="24"/>
                <w:szCs w:val="24"/>
                <w:shd w:val="clear" w:color="auto" w:fill="FFFFFF"/>
              </w:rPr>
              <w:t>地下水：</w:t>
            </w:r>
            <w:r>
              <w:rPr>
                <w:rFonts w:hint="eastAsia" w:ascii="仿宋_GB2312" w:hAnsi="仿宋_GB2312" w:eastAsia="仿宋_GB2312" w:cs="仿宋_GB2312"/>
                <w:sz w:val="24"/>
                <w:szCs w:val="24"/>
                <w:shd w:val="clear" w:color="auto" w:fill="FFFFFF"/>
              </w:rPr>
              <w:t>煤矿开采区、煤化工区、化工重污染企业及工业园区、垃圾填埋场、固废和危废堆放场建立地下水水质动态监测系统。</w:t>
            </w:r>
            <w:r>
              <w:rPr>
                <w:rFonts w:hint="eastAsia" w:ascii="仿宋_GB2312" w:hAnsi="仿宋_GB2312" w:eastAsia="仿宋_GB2312" w:cs="仿宋_GB2312"/>
                <w:b/>
                <w:bCs/>
                <w:sz w:val="24"/>
                <w:szCs w:val="24"/>
                <w:shd w:val="clear" w:color="auto" w:fill="FFFFFF"/>
              </w:rPr>
              <w:t>地表水：</w:t>
            </w:r>
            <w:r>
              <w:rPr>
                <w:rFonts w:hint="eastAsia" w:ascii="仿宋_GB2312" w:hAnsi="仿宋_GB2312" w:eastAsia="仿宋_GB2312" w:cs="仿宋_GB2312"/>
                <w:sz w:val="24"/>
                <w:szCs w:val="24"/>
                <w:shd w:val="clear" w:color="auto" w:fill="FFFFFF"/>
              </w:rPr>
              <w:t>窟野河、秃尾河流域上游加强水环境监测点位布置；红碱淖入湖断面监测。</w:t>
            </w:r>
            <w:r>
              <w:rPr>
                <w:rFonts w:hint="eastAsia" w:ascii="仿宋_GB2312" w:hAnsi="仿宋_GB2312" w:eastAsia="仿宋_GB2312" w:cs="仿宋_GB2312"/>
                <w:b/>
                <w:bCs/>
                <w:sz w:val="24"/>
                <w:szCs w:val="24"/>
                <w:shd w:val="clear" w:color="auto" w:fill="FFFFFF"/>
              </w:rPr>
              <w:t>大气</w:t>
            </w:r>
            <w:r>
              <w:rPr>
                <w:rFonts w:hint="eastAsia" w:ascii="仿宋_GB2312" w:hAnsi="仿宋_GB2312" w:eastAsia="仿宋_GB2312" w:cs="仿宋_GB2312"/>
                <w:sz w:val="24"/>
                <w:szCs w:val="24"/>
                <w:shd w:val="clear" w:color="auto" w:fill="FFFFFF"/>
              </w:rPr>
              <w:t>：</w:t>
            </w:r>
            <w:r>
              <w:rPr>
                <w:rFonts w:hint="eastAsia" w:ascii="仿宋_GB2312" w:hAnsi="仿宋_GB2312" w:cs="仿宋_GB2312"/>
                <w:sz w:val="24"/>
                <w:szCs w:val="24"/>
                <w:shd w:val="clear" w:color="auto" w:fill="FFFFFF"/>
                <w:lang w:eastAsia="zh-CN"/>
              </w:rPr>
              <w:t>各工业园区加装空气质量自动监测站，工矿企业安装在线监测设施</w:t>
            </w:r>
            <w:r>
              <w:rPr>
                <w:rFonts w:hint="eastAsia" w:ascii="仿宋_GB2312" w:hAnsi="仿宋_GB2312" w:eastAsia="仿宋_GB2312" w:cs="仿宋_GB2312"/>
                <w:sz w:val="24"/>
                <w:szCs w:val="24"/>
                <w:shd w:val="clear" w:color="auto" w:fill="FFFFFF"/>
              </w:rPr>
              <w:t>。</w:t>
            </w:r>
            <w:r>
              <w:rPr>
                <w:rFonts w:hint="eastAsia" w:ascii="仿宋_GB2312" w:hAnsi="仿宋_GB2312" w:eastAsia="仿宋_GB2312" w:cs="仿宋_GB2312"/>
                <w:b/>
                <w:bCs/>
                <w:sz w:val="24"/>
                <w:szCs w:val="24"/>
                <w:shd w:val="clear" w:color="auto" w:fill="FFFFFF"/>
              </w:rPr>
              <w:t>土壤：</w:t>
            </w:r>
            <w:r>
              <w:rPr>
                <w:rFonts w:hint="eastAsia" w:ascii="仿宋_GB2312" w:hAnsi="仿宋_GB2312" w:eastAsia="仿宋_GB2312" w:cs="仿宋_GB2312"/>
                <w:sz w:val="24"/>
                <w:szCs w:val="24"/>
                <w:shd w:val="clear" w:color="auto" w:fill="FFFFFF"/>
              </w:rPr>
              <w:t>工矿用地、农业用地、固废和危废堆放场土壤环境质量监测；建立土壤环境基础数据库。</w:t>
            </w:r>
            <w:r>
              <w:rPr>
                <w:rFonts w:hint="eastAsia" w:ascii="仿宋_GB2312" w:hAnsi="仿宋_GB2312" w:eastAsia="仿宋_GB2312" w:cs="仿宋_GB2312"/>
                <w:b/>
                <w:bCs/>
                <w:sz w:val="24"/>
                <w:szCs w:val="24"/>
                <w:shd w:val="clear" w:color="auto" w:fill="FFFFFF"/>
              </w:rPr>
              <w:t>取用水监测：</w:t>
            </w:r>
            <w:r>
              <w:rPr>
                <w:rFonts w:hint="eastAsia" w:ascii="仿宋_GB2312" w:hAnsi="仿宋_GB2312" w:eastAsia="仿宋_GB2312" w:cs="仿宋_GB2312"/>
                <w:sz w:val="24"/>
                <w:szCs w:val="24"/>
                <w:shd w:val="clear" w:color="auto" w:fill="FFFFFF"/>
              </w:rPr>
              <w:t>工矿企业、用户取用水计量设施建设和监控；农田灌溉用水计量设施和监测系统建设。</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99" w:name="_Toc7475"/>
      <w:bookmarkStart w:id="100" w:name="_Toc8930"/>
      <w:r>
        <w:rPr>
          <w:rFonts w:hint="eastAsia" w:ascii="楷体_GB2312" w:hAnsi="楷体_GB2312" w:eastAsia="楷体_GB2312" w:cs="楷体_GB2312"/>
          <w:bCs/>
          <w:sz w:val="32"/>
          <w:szCs w:val="32"/>
        </w:rPr>
        <w:t xml:space="preserve">第五节 </w:t>
      </w:r>
      <w:bookmarkEnd w:id="99"/>
      <w:r>
        <w:rPr>
          <w:rFonts w:hint="eastAsia" w:ascii="楷体_GB2312" w:hAnsi="楷体_GB2312" w:eastAsia="楷体_GB2312" w:cs="楷体_GB2312"/>
          <w:bCs/>
          <w:sz w:val="32"/>
          <w:szCs w:val="32"/>
          <w:lang w:eastAsia="zh-CN"/>
        </w:rPr>
        <w:t>推进黄河流域生态保护治理</w:t>
      </w:r>
      <w:bookmarkEnd w:id="100"/>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cs="Times New Roman"/>
          <w:kern w:val="2"/>
          <w:sz w:val="32"/>
          <w:szCs w:val="32"/>
          <w:lang w:eastAsia="zh-CN"/>
        </w:rPr>
      </w:pPr>
      <w:r>
        <w:rPr>
          <w:rFonts w:hint="eastAsia" w:cs="Times New Roman"/>
          <w:b/>
          <w:bCs/>
          <w:kern w:val="2"/>
          <w:sz w:val="32"/>
          <w:szCs w:val="32"/>
          <w:lang w:eastAsia="zh-CN"/>
        </w:rPr>
        <w:t>突出抓好水土保持。</w:t>
      </w:r>
      <w:r>
        <w:rPr>
          <w:rFonts w:cs="Times New Roman"/>
          <w:kern w:val="2"/>
          <w:sz w:val="32"/>
          <w:szCs w:val="32"/>
        </w:rPr>
        <w:t>坚持“山水林田湖草沙”系统治理，进一步遏制水土流失，构建完整的水土保持生态防护体系。北部风沙草滩区以预防为主，</w:t>
      </w:r>
      <w:r>
        <w:rPr>
          <w:rFonts w:hint="eastAsia" w:cs="Times New Roman"/>
          <w:kern w:val="2"/>
          <w:sz w:val="32"/>
          <w:szCs w:val="32"/>
        </w:rPr>
        <w:t>加强</w:t>
      </w:r>
      <w:r>
        <w:rPr>
          <w:rFonts w:cs="Times New Roman"/>
          <w:kern w:val="2"/>
          <w:sz w:val="32"/>
          <w:szCs w:val="32"/>
        </w:rPr>
        <w:t>重要河湖及水源地保护，开展林草基地建设，实施百万亩治沙工程</w:t>
      </w:r>
      <w:r>
        <w:rPr>
          <w:rFonts w:hint="eastAsia" w:cs="Times New Roman"/>
          <w:kern w:val="2"/>
          <w:sz w:val="32"/>
          <w:szCs w:val="32"/>
        </w:rPr>
        <w:t>，提升防风固沙、涵养水源能力</w:t>
      </w:r>
      <w:r>
        <w:rPr>
          <w:rFonts w:cs="Times New Roman"/>
          <w:kern w:val="2"/>
          <w:sz w:val="32"/>
          <w:szCs w:val="32"/>
        </w:rPr>
        <w:t>。中南部丘陵区开展以小流域为单元的山水林田路综合治理，统筹实施病险淤地坝除险加固、坡耕地退耕还林还草、生态脆弱区封山育林、粗泥沙来源区淤地坝建设、山间坡改梯等工程，从源头上减少黄河泥沙输入。</w:t>
      </w:r>
      <w:r>
        <w:rPr>
          <w:rFonts w:hint="eastAsia" w:cs="Times New Roman"/>
          <w:kern w:val="2"/>
          <w:sz w:val="32"/>
          <w:szCs w:val="32"/>
          <w:lang w:val="en-US" w:eastAsia="zh-CN"/>
        </w:rPr>
        <w:t>打造</w:t>
      </w:r>
      <w:r>
        <w:rPr>
          <w:rFonts w:hint="eastAsia" w:cs="Times New Roman"/>
          <w:kern w:val="2"/>
          <w:sz w:val="32"/>
          <w:szCs w:val="32"/>
        </w:rPr>
        <w:t>神木毛乌素</w:t>
      </w:r>
      <w:r>
        <w:rPr>
          <w:rFonts w:hint="eastAsia" w:cs="Times New Roman"/>
          <w:kern w:val="2"/>
          <w:sz w:val="32"/>
          <w:szCs w:val="32"/>
          <w:lang w:val="en-US" w:eastAsia="zh-CN"/>
        </w:rPr>
        <w:t>国家</w:t>
      </w:r>
      <w:r>
        <w:rPr>
          <w:rFonts w:hint="eastAsia" w:cs="Times New Roman"/>
          <w:kern w:val="2"/>
          <w:sz w:val="32"/>
          <w:szCs w:val="32"/>
        </w:rPr>
        <w:t>山水林田湖草沙生态</w:t>
      </w:r>
      <w:r>
        <w:rPr>
          <w:rFonts w:hint="eastAsia" w:cs="Times New Roman"/>
          <w:kern w:val="2"/>
          <w:sz w:val="32"/>
          <w:szCs w:val="32"/>
          <w:lang w:eastAsia="zh-CN"/>
        </w:rPr>
        <w:t>保护和</w:t>
      </w:r>
      <w:r>
        <w:rPr>
          <w:rFonts w:hint="eastAsia" w:cs="Times New Roman"/>
          <w:kern w:val="2"/>
          <w:sz w:val="32"/>
          <w:szCs w:val="32"/>
        </w:rPr>
        <w:t>高质量发展示范区</w:t>
      </w:r>
      <w:r>
        <w:rPr>
          <w:rFonts w:hint="eastAsia" w:cs="Times New Roman"/>
          <w:kern w:val="2"/>
          <w:sz w:val="32"/>
          <w:szCs w:val="32"/>
          <w:lang w:eastAsia="zh-CN"/>
        </w:rPr>
        <w:t>，</w:t>
      </w:r>
      <w:r>
        <w:rPr>
          <w:rFonts w:hint="eastAsia" w:cs="Times New Roman"/>
          <w:kern w:val="2"/>
          <w:sz w:val="32"/>
          <w:szCs w:val="32"/>
          <w:lang w:val="en-US" w:eastAsia="zh-CN"/>
        </w:rPr>
        <w:t>以红碱淖自然保护区为中心，系统开展</w:t>
      </w:r>
      <w:r>
        <w:rPr>
          <w:rFonts w:hint="eastAsia" w:cs="Times New Roman"/>
          <w:kern w:val="2"/>
          <w:sz w:val="32"/>
          <w:szCs w:val="32"/>
        </w:rPr>
        <w:t>山水林田湖草沙</w:t>
      </w:r>
      <w:r>
        <w:rPr>
          <w:rFonts w:hint="eastAsia" w:cs="Times New Roman"/>
          <w:kern w:val="2"/>
          <w:sz w:val="32"/>
          <w:szCs w:val="32"/>
          <w:lang w:val="en-US" w:eastAsia="zh-CN"/>
        </w:rPr>
        <w:t>综合治理。</w:t>
      </w:r>
      <w:r>
        <w:rPr>
          <w:rFonts w:cs="Times New Roman"/>
          <w:kern w:val="2"/>
          <w:sz w:val="32"/>
          <w:szCs w:val="32"/>
        </w:rPr>
        <w:t>“十四五”期间</w:t>
      </w:r>
      <w:r>
        <w:rPr>
          <w:rFonts w:cs="Times New Roman"/>
          <w:color w:val="000000"/>
          <w:sz w:val="32"/>
          <w:szCs w:val="32"/>
          <w:shd w:val="clear" w:color="auto" w:fill="FFFFFF"/>
        </w:rPr>
        <w:t>，新增水土流失治理面积700平方公里，水土保持治理程度达到50%以上。</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cs="Times New Roman"/>
          <w:kern w:val="2"/>
          <w:sz w:val="32"/>
          <w:szCs w:val="32"/>
        </w:rPr>
      </w:pPr>
      <w:r>
        <w:rPr>
          <w:rFonts w:hint="eastAsia" w:cs="Times New Roman"/>
          <w:b/>
          <w:bCs/>
          <w:kern w:val="2"/>
          <w:sz w:val="32"/>
          <w:szCs w:val="32"/>
          <w:lang w:eastAsia="zh-CN"/>
        </w:rPr>
        <w:t>保障黄河长治久安。</w:t>
      </w:r>
      <w:r>
        <w:rPr>
          <w:rFonts w:cs="Times New Roman"/>
          <w:kern w:val="2"/>
          <w:sz w:val="32"/>
          <w:szCs w:val="32"/>
        </w:rPr>
        <w:t>按照</w:t>
      </w:r>
      <w:r>
        <w:rPr>
          <w:rFonts w:hint="eastAsia" w:cs="Times New Roman"/>
          <w:kern w:val="2"/>
          <w:sz w:val="32"/>
          <w:szCs w:val="32"/>
          <w:lang w:eastAsia="zh-CN"/>
        </w:rPr>
        <w:t>黄河流域生态保护和高质量发展战略</w:t>
      </w:r>
      <w:r>
        <w:rPr>
          <w:rFonts w:cs="Times New Roman"/>
          <w:kern w:val="2"/>
          <w:sz w:val="32"/>
          <w:szCs w:val="32"/>
        </w:rPr>
        <w:t>总体要求，</w:t>
      </w:r>
      <w:r>
        <w:rPr>
          <w:rFonts w:hint="eastAsia" w:cs="Times New Roman"/>
          <w:kern w:val="2"/>
          <w:sz w:val="32"/>
          <w:szCs w:val="32"/>
          <w:lang w:val="en-US" w:eastAsia="zh-CN"/>
        </w:rPr>
        <w:t>开展黄河干支流入河排污口排查整治行动，净化黄河流域水环境质量。推动沿黄一定范围内高耗水、高污染企业迁入合规园区，严禁在黄河干流及支流临岸新建“两高一资”项目及相关产业园区。加快窟野河、秃尾河河道和滩区综合治理，完善重点防洪体系，提升防洪能力标准，确保黄河流域神木段长久安澜。</w:t>
      </w:r>
    </w:p>
    <w:tbl>
      <w:tblPr>
        <w:tblStyle w:val="25"/>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trPr>
        <w:tc>
          <w:tcPr>
            <w:tcW w:w="8413" w:type="dxa"/>
          </w:tcPr>
          <w:p>
            <w:pPr>
              <w:pStyle w:val="10"/>
              <w:ind w:firstLine="0" w:firstLineChars="0"/>
              <w:jc w:val="both"/>
              <w:rPr>
                <w:rFonts w:cs="Times New Roman"/>
                <w:b/>
                <w:bCs/>
                <w:szCs w:val="28"/>
                <w:shd w:val="clear" w:color="auto" w:fill="FFFFFF"/>
              </w:rPr>
            </w:pPr>
            <w:r>
              <w:rPr>
                <w:rFonts w:hint="eastAsia" w:ascii="黑体" w:hAnsi="黑体" w:eastAsia="黑体" w:cs="黑体"/>
                <w:sz w:val="24"/>
                <w:szCs w:val="24"/>
                <w:lang w:val="en-US" w:eastAsia="zh-CN" w:bidi="ar-SA"/>
              </w:rPr>
              <w:t>专栏19：</w:t>
            </w:r>
            <w:r>
              <w:rPr>
                <w:rFonts w:hint="eastAsia" w:ascii="黑体" w:hAnsi="黑体" w:eastAsia="黑体" w:cs="黑体"/>
                <w:b w:val="0"/>
                <w:bCs w:val="0"/>
                <w:sz w:val="24"/>
                <w:szCs w:val="24"/>
                <w:shd w:val="clear" w:color="auto" w:fill="FFFFFF"/>
              </w:rPr>
              <w:t xml:space="preserve"> </w:t>
            </w:r>
            <w:r>
              <w:rPr>
                <w:rFonts w:hint="eastAsia" w:ascii="仿宋_GB2312" w:hAnsi="仿宋_GB2312" w:eastAsia="仿宋_GB2312" w:cs="仿宋_GB2312"/>
                <w:b w:val="0"/>
                <w:bCs w:val="0"/>
                <w:sz w:val="28"/>
                <w:szCs w:val="28"/>
                <w:shd w:val="clear" w:color="auto" w:fill="FFFFFF"/>
              </w:rPr>
              <w:t xml:space="preserve"> </w:t>
            </w:r>
            <w:r>
              <w:rPr>
                <w:rFonts w:cs="Times New Roman"/>
                <w:b/>
                <w:bCs/>
                <w:szCs w:val="28"/>
                <w:shd w:val="clear" w:color="auto" w:fill="FFFFFF"/>
              </w:rPr>
              <w:t xml:space="preserve"> </w:t>
            </w:r>
            <w:r>
              <w:rPr>
                <w:rFonts w:cs="Times New Roman"/>
                <w:szCs w:val="28"/>
                <w:shd w:val="clear" w:color="auto" w:fill="FFFFFF"/>
              </w:rPr>
              <w:t xml:space="preserve"> </w:t>
            </w:r>
            <w:r>
              <w:rPr>
                <w:rFonts w:cs="Times New Roman"/>
                <w:sz w:val="32"/>
                <w:szCs w:val="32"/>
                <w:shd w:val="clear" w:color="auto" w:fill="FFFFFF"/>
              </w:rPr>
              <w:t xml:space="preserve">            </w:t>
            </w:r>
            <w:r>
              <w:rPr>
                <w:rFonts w:cs="Times New Roman"/>
                <w:b/>
                <w:bCs/>
                <w:szCs w:val="28"/>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cs="Times New Roman"/>
                <w:b/>
                <w:bCs/>
                <w:szCs w:val="28"/>
                <w:shd w:val="clear" w:color="auto" w:fill="FFFFFF"/>
              </w:rPr>
            </w:pPr>
            <w:r>
              <w:rPr>
                <w:rFonts w:hint="eastAsia" w:ascii="黑体" w:hAnsi="黑体" w:eastAsia="黑体" w:cs="黑体"/>
                <w:b w:val="0"/>
                <w:bCs w:val="0"/>
                <w:szCs w:val="28"/>
                <w:shd w:val="clear" w:color="auto" w:fill="FFFFFF"/>
              </w:rPr>
              <w:t>水土流失防治工程</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rPr>
              <w:t>淤地坝工程：</w:t>
            </w:r>
            <w:r>
              <w:rPr>
                <w:rFonts w:hint="eastAsia" w:ascii="仿宋_GB2312" w:hAnsi="仿宋_GB2312" w:eastAsia="仿宋_GB2312" w:cs="仿宋_GB2312"/>
                <w:sz w:val="24"/>
                <w:szCs w:val="24"/>
                <w:shd w:val="clear" w:color="auto" w:fill="FFFFFF"/>
              </w:rPr>
              <w:t>中型以上病险淤地坝除险加固工程136座，</w:t>
            </w:r>
            <w:r>
              <w:rPr>
                <w:rFonts w:hint="eastAsia" w:ascii="仿宋_GB2312" w:hAnsi="仿宋_GB2312" w:cs="仿宋_GB2312"/>
                <w:sz w:val="24"/>
                <w:szCs w:val="24"/>
                <w:shd w:val="clear" w:color="auto" w:fill="FFFFFF"/>
                <w:lang w:val="en-US" w:eastAsia="zh-CN"/>
              </w:rPr>
              <w:t>其中</w:t>
            </w:r>
            <w:r>
              <w:rPr>
                <w:rFonts w:hint="eastAsia" w:ascii="仿宋_GB2312" w:hAnsi="仿宋_GB2312" w:eastAsia="仿宋_GB2312" w:cs="仿宋_GB2312"/>
                <w:sz w:val="24"/>
                <w:szCs w:val="24"/>
                <w:shd w:val="clear" w:color="auto" w:fill="FFFFFF"/>
              </w:rPr>
              <w:t>骨干坝46座、中型坝90座；黄河粗泥沙集中来源区拦沙工程一期549座，</w:t>
            </w:r>
            <w:r>
              <w:rPr>
                <w:rFonts w:hint="eastAsia" w:ascii="仿宋_GB2312" w:hAnsi="仿宋_GB2312" w:cs="仿宋_GB2312"/>
                <w:sz w:val="24"/>
                <w:szCs w:val="24"/>
                <w:shd w:val="clear" w:color="auto" w:fill="FFFFFF"/>
                <w:lang w:val="en-US" w:eastAsia="zh-CN"/>
              </w:rPr>
              <w:t>其中</w:t>
            </w:r>
            <w:r>
              <w:rPr>
                <w:rFonts w:hint="eastAsia" w:ascii="仿宋_GB2312" w:hAnsi="仿宋_GB2312" w:eastAsia="仿宋_GB2312" w:cs="仿宋_GB2312"/>
                <w:sz w:val="24"/>
                <w:szCs w:val="24"/>
                <w:shd w:val="clear" w:color="auto" w:fill="FFFFFF"/>
              </w:rPr>
              <w:t>中型拦沙坝110座、小型拦沙坝439座；水土保持淤地坝运行管护410座</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rPr>
              <w:t>国家水土保持重点建设工程：</w:t>
            </w:r>
            <w:r>
              <w:rPr>
                <w:rFonts w:hint="eastAsia" w:ascii="仿宋_GB2312" w:hAnsi="仿宋_GB2312" w:eastAsia="仿宋_GB2312" w:cs="仿宋_GB2312"/>
                <w:sz w:val="24"/>
                <w:szCs w:val="24"/>
                <w:shd w:val="clear" w:color="auto" w:fill="FFFFFF"/>
              </w:rPr>
              <w:t>治理水土流失面积250</w:t>
            </w:r>
            <w:r>
              <w:rPr>
                <w:rFonts w:hint="eastAsia" w:ascii="仿宋_GB2312" w:hAnsi="仿宋_GB2312" w:eastAsia="仿宋_GB2312" w:cs="仿宋_GB2312"/>
                <w:sz w:val="24"/>
                <w:szCs w:val="24"/>
                <w:shd w:val="clear" w:color="auto" w:fill="FFFFFF"/>
                <w:lang w:val="en-US" w:eastAsia="zh-CN"/>
              </w:rPr>
              <w:t>平方千米</w:t>
            </w:r>
            <w:r>
              <w:rPr>
                <w:rFonts w:hint="eastAsia" w:ascii="仿宋_GB2312" w:hAnsi="仿宋_GB2312" w:eastAsia="仿宋_GB2312" w:cs="仿宋_GB2312"/>
                <w:sz w:val="24"/>
                <w:szCs w:val="24"/>
                <w:shd w:val="clear" w:color="auto" w:fill="FFFFFF"/>
              </w:rPr>
              <w:t>，完成坡改梯20万亩</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rPr>
              <w:t>京津风沙源治理工程：</w:t>
            </w:r>
            <w:r>
              <w:rPr>
                <w:rFonts w:hint="eastAsia" w:ascii="仿宋_GB2312" w:hAnsi="仿宋_GB2312" w:eastAsia="仿宋_GB2312" w:cs="仿宋_GB2312"/>
                <w:sz w:val="24"/>
                <w:szCs w:val="24"/>
                <w:shd w:val="clear" w:color="auto" w:fill="FFFFFF"/>
              </w:rPr>
              <w:t>水源工程140处，节水灌溉工程140处，小流域综合治理30平方公里</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color w:val="000000"/>
                <w:sz w:val="24"/>
                <w:szCs w:val="24"/>
                <w:lang w:eastAsia="zh-CN"/>
              </w:rPr>
            </w:pPr>
            <w:r>
              <w:rPr>
                <w:rFonts w:hint="eastAsia" w:ascii="楷体_GB2312" w:hAnsi="楷体_GB2312" w:eastAsia="楷体_GB2312" w:cs="楷体_GB2312"/>
                <w:b/>
                <w:bCs/>
                <w:sz w:val="24"/>
                <w:szCs w:val="24"/>
              </w:rPr>
              <w:t>水土保持生态修复工程：</w:t>
            </w:r>
            <w:r>
              <w:rPr>
                <w:rFonts w:hint="eastAsia" w:ascii="仿宋_GB2312" w:hAnsi="仿宋_GB2312" w:eastAsia="仿宋_GB2312" w:cs="仿宋_GB2312"/>
                <w:sz w:val="24"/>
                <w:szCs w:val="24"/>
                <w:shd w:val="clear" w:color="auto" w:fill="FFFFFF"/>
              </w:rPr>
              <w:t>在窟野河、秃尾河主要河流适合位置开展“柔性治水”试点，建成示范治理工程20处，长15</w:t>
            </w:r>
            <w:r>
              <w:rPr>
                <w:rFonts w:hint="eastAsia" w:ascii="仿宋_GB2312" w:hAnsi="仿宋_GB2312" w:cs="仿宋_GB2312"/>
                <w:sz w:val="24"/>
                <w:szCs w:val="24"/>
                <w:shd w:val="clear" w:color="auto" w:fill="FFFFFF"/>
                <w:lang w:eastAsia="zh-CN"/>
              </w:rPr>
              <w:t>千米</w:t>
            </w:r>
            <w:r>
              <w:rPr>
                <w:rFonts w:hint="eastAsia" w:ascii="仿宋_GB2312" w:hAnsi="仿宋_GB2312" w:eastAsia="仿宋_GB2312" w:cs="仿宋_GB2312"/>
                <w:sz w:val="24"/>
                <w:szCs w:val="24"/>
                <w:shd w:val="clear" w:color="auto" w:fill="FFFFFF"/>
              </w:rPr>
              <w:t>；矿区水保生态修复250</w:t>
            </w:r>
            <w:r>
              <w:rPr>
                <w:rFonts w:hint="eastAsia" w:ascii="仿宋_GB2312" w:hAnsi="仿宋_GB2312" w:eastAsia="仿宋_GB2312" w:cs="仿宋_GB2312"/>
                <w:sz w:val="24"/>
                <w:szCs w:val="24"/>
                <w:shd w:val="clear" w:color="auto" w:fill="FFFFFF"/>
                <w:lang w:val="en-US" w:eastAsia="zh-CN"/>
              </w:rPr>
              <w:t>平方千米</w:t>
            </w:r>
            <w:r>
              <w:rPr>
                <w:rFonts w:hint="eastAsia" w:ascii="仿宋_GB2312" w:hAnsi="仿宋_GB2312" w:cs="仿宋_GB2312"/>
                <w:color w:val="000000"/>
                <w:sz w:val="24"/>
                <w:szCs w:val="24"/>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rPr>
              <w:t>水土保持示范工程：</w:t>
            </w:r>
            <w:r>
              <w:rPr>
                <w:rFonts w:hint="eastAsia" w:ascii="仿宋_GB2312" w:hAnsi="仿宋_GB2312" w:eastAsia="仿宋_GB2312" w:cs="仿宋_GB2312"/>
                <w:sz w:val="24"/>
                <w:szCs w:val="24"/>
                <w:shd w:val="clear" w:color="auto" w:fill="FFFFFF"/>
              </w:rPr>
              <w:t>红碱淖湿地保护区</w:t>
            </w:r>
            <w:r>
              <w:rPr>
                <w:rFonts w:hint="eastAsia" w:ascii="仿宋_GB2312" w:hAnsi="仿宋_GB2312" w:cs="仿宋_GB2312"/>
                <w:sz w:val="24"/>
                <w:szCs w:val="24"/>
                <w:shd w:val="clear" w:color="auto" w:fill="FFFFFF"/>
                <w:lang w:eastAsia="zh-CN"/>
              </w:rPr>
              <w:t>；</w:t>
            </w:r>
            <w:r>
              <w:rPr>
                <w:rFonts w:hint="eastAsia" w:ascii="仿宋_GB2312" w:hAnsi="仿宋_GB2312" w:eastAsia="仿宋_GB2312" w:cs="仿宋_GB2312"/>
                <w:sz w:val="24"/>
                <w:szCs w:val="24"/>
                <w:shd w:val="clear" w:color="auto" w:fill="FFFFFF"/>
              </w:rPr>
              <w:t>柏雨庙沟流域、黄石沟水库库区上游生态综合治理、圪丑沟六道沟等示范工程</w:t>
            </w:r>
            <w:r>
              <w:rPr>
                <w:rFonts w:hint="eastAsia" w:ascii="仿宋_GB2312" w:hAnsi="仿宋_GB2312" w:cs="仿宋_GB2312"/>
                <w:sz w:val="24"/>
                <w:szCs w:val="24"/>
                <w:shd w:val="clear" w:color="auto" w:fill="FFFFFF"/>
                <w:lang w:eastAsia="zh-CN"/>
              </w:rPr>
              <w:t>；</w:t>
            </w:r>
            <w:r>
              <w:rPr>
                <w:rFonts w:hint="eastAsia" w:ascii="仿宋_GB2312" w:hAnsi="仿宋_GB2312" w:eastAsia="仿宋_GB2312" w:cs="仿宋_GB2312"/>
                <w:sz w:val="24"/>
                <w:szCs w:val="24"/>
                <w:shd w:val="clear" w:color="auto" w:fill="FFFFFF"/>
              </w:rPr>
              <w:t>榆溪河支流源头段治理、沿黄土石山区及沿黄公路两侧进行综合治理</w:t>
            </w:r>
            <w:r>
              <w:rPr>
                <w:rFonts w:hint="eastAsia" w:ascii="仿宋_GB2312" w:hAnsi="仿宋_GB2312" w:cs="仿宋_GB2312"/>
                <w:sz w:val="24"/>
                <w:szCs w:val="24"/>
                <w:shd w:val="clear" w:color="auto" w:fill="FFFFFF"/>
                <w:lang w:eastAsia="zh-CN"/>
              </w:rPr>
              <w:t>；</w:t>
            </w:r>
            <w:r>
              <w:rPr>
                <w:rFonts w:hint="eastAsia" w:ascii="仿宋_GB2312" w:hAnsi="仿宋_GB2312" w:eastAsia="仿宋_GB2312" w:cs="仿宋_GB2312"/>
                <w:sz w:val="24"/>
                <w:szCs w:val="24"/>
                <w:shd w:val="clear" w:color="auto" w:fill="FFFFFF"/>
              </w:rPr>
              <w:t>杨柳沟国家级水土保持示范园、凤凰山省级水土保持示范园、常家沟水库水源地</w:t>
            </w:r>
            <w:r>
              <w:rPr>
                <w:rFonts w:hint="eastAsia" w:ascii="仿宋_GB2312" w:hAnsi="仿宋_GB2312" w:cs="仿宋_GB2312"/>
                <w:sz w:val="24"/>
                <w:szCs w:val="24"/>
                <w:shd w:val="clear" w:color="auto" w:fill="FFFFFF"/>
                <w:lang w:val="en-US" w:eastAsia="zh-CN"/>
              </w:rPr>
              <w:t>水土保持示范园、</w:t>
            </w:r>
            <w:r>
              <w:rPr>
                <w:rFonts w:hint="eastAsia" w:ascii="仿宋_GB2312" w:hAnsi="仿宋_GB2312" w:eastAsia="仿宋_GB2312" w:cs="仿宋_GB2312"/>
                <w:sz w:val="24"/>
                <w:szCs w:val="24"/>
                <w:shd w:val="clear" w:color="auto" w:fill="FFFFFF"/>
              </w:rPr>
              <w:t>大柳塔试验区水保示范园合治理示范、麻家塔沟综合治理示范、杨家城水土保持示范工程</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hint="eastAsia" w:ascii="仿宋_GB2312" w:hAnsi="仿宋_GB2312" w:eastAsia="仿宋_GB2312" w:cs="仿宋_GB2312"/>
                <w:sz w:val="24"/>
                <w:szCs w:val="24"/>
                <w:shd w:val="clear" w:color="auto" w:fill="FFFFFF"/>
                <w:lang w:eastAsia="zh-CN"/>
              </w:rPr>
            </w:pPr>
            <w:r>
              <w:rPr>
                <w:rFonts w:hint="eastAsia" w:ascii="楷体_GB2312" w:hAnsi="楷体_GB2312" w:eastAsia="楷体_GB2312" w:cs="楷体_GB2312"/>
                <w:b/>
                <w:bCs/>
                <w:sz w:val="24"/>
                <w:szCs w:val="24"/>
                <w:shd w:val="clear" w:color="auto" w:fill="FFFFFF"/>
              </w:rPr>
              <w:t>矿区水土保持恢复治理工程：</w:t>
            </w:r>
            <w:r>
              <w:rPr>
                <w:rFonts w:hint="eastAsia" w:ascii="仿宋_GB2312" w:hAnsi="仿宋_GB2312" w:eastAsia="仿宋_GB2312" w:cs="仿宋_GB2312"/>
                <w:sz w:val="24"/>
                <w:szCs w:val="24"/>
                <w:shd w:val="clear" w:color="auto" w:fill="FFFFFF"/>
              </w:rPr>
              <w:t>神东公司大柳塔矿区生态恢复治理示范、陕煤神木柠条塔矿井水土保持提升示范、神延公司西湾露天开采水土保持治理示范、矿山整治水土保持示范工程</w:t>
            </w:r>
            <w:r>
              <w:rPr>
                <w:rFonts w:hint="eastAsia" w:ascii="仿宋_GB2312" w:hAnsi="仿宋_GB2312" w:cs="仿宋_GB2312"/>
                <w:sz w:val="24"/>
                <w:szCs w:val="24"/>
                <w:shd w:val="clear" w:color="auto" w:fill="FFFFFF"/>
                <w:lang w:eastAsia="zh-CN"/>
              </w:rPr>
              <w:t>。</w:t>
            </w:r>
          </w:p>
          <w:p>
            <w:pPr>
              <w:pStyle w:val="10"/>
              <w:keepNext w:val="0"/>
              <w:keepLines w:val="0"/>
              <w:pageBreakBefore w:val="0"/>
              <w:widowControl w:val="0"/>
              <w:kinsoku/>
              <w:wordWrap/>
              <w:overflowPunct/>
              <w:topLinePunct w:val="0"/>
              <w:autoSpaceDE/>
              <w:autoSpaceDN/>
              <w:bidi w:val="0"/>
              <w:adjustRightInd w:val="0"/>
              <w:snapToGrid w:val="0"/>
              <w:spacing w:line="400" w:lineRule="exact"/>
              <w:ind w:firstLine="480"/>
              <w:jc w:val="both"/>
              <w:textAlignment w:val="auto"/>
              <w:rPr>
                <w:rFonts w:cs="Times New Roman" w:eastAsiaTheme="minorEastAsia"/>
                <w:sz w:val="24"/>
                <w:szCs w:val="24"/>
                <w:shd w:val="clear" w:color="auto" w:fill="FFFFFF"/>
              </w:rPr>
            </w:pPr>
            <w:r>
              <w:rPr>
                <w:rFonts w:hint="eastAsia" w:ascii="楷体_GB2312" w:hAnsi="楷体_GB2312" w:eastAsia="楷体_GB2312" w:cs="楷体_GB2312"/>
                <w:b/>
                <w:bCs/>
                <w:sz w:val="24"/>
                <w:szCs w:val="24"/>
                <w:shd w:val="clear" w:color="auto" w:fill="FFFFFF"/>
              </w:rPr>
              <w:t>小型水保：</w:t>
            </w:r>
            <w:r>
              <w:rPr>
                <w:rFonts w:hint="eastAsia" w:ascii="仿宋_GB2312" w:hAnsi="仿宋_GB2312" w:eastAsia="仿宋_GB2312" w:cs="仿宋_GB2312"/>
                <w:sz w:val="24"/>
                <w:szCs w:val="24"/>
                <w:shd w:val="clear" w:color="auto" w:fill="FFFFFF"/>
              </w:rPr>
              <w:t>小型水保示范工程300处，建成水窖20眼，雨水收集池10个，蓄水池15个，抽水站5处。</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101" w:name="_Toc1657"/>
      <w:bookmarkStart w:id="102" w:name="_Toc9255"/>
      <w:r>
        <w:rPr>
          <w:rFonts w:hint="eastAsia" w:ascii="楷体_GB2312" w:hAnsi="楷体_GB2312" w:eastAsia="楷体_GB2312" w:cs="楷体_GB2312"/>
          <w:bCs/>
          <w:sz w:val="32"/>
          <w:szCs w:val="32"/>
        </w:rPr>
        <w:t xml:space="preserve">第六节 </w:t>
      </w:r>
      <w:bookmarkEnd w:id="101"/>
      <w:r>
        <w:rPr>
          <w:rFonts w:hint="eastAsia" w:ascii="楷体_GB2312" w:hAnsi="楷体_GB2312" w:eastAsia="楷体_GB2312" w:cs="楷体_GB2312"/>
          <w:bCs/>
          <w:sz w:val="32"/>
          <w:szCs w:val="32"/>
          <w:lang w:eastAsia="zh-CN"/>
        </w:rPr>
        <w:t>建立绿色生产生活方式</w:t>
      </w:r>
      <w:bookmarkEnd w:id="102"/>
    </w:p>
    <w:p>
      <w:pPr>
        <w:keepNext w:val="0"/>
        <w:keepLines w:val="0"/>
        <w:pageBreakBefore w:val="0"/>
        <w:widowControl/>
        <w:suppressLineNumbers w:val="0"/>
        <w:kinsoku/>
        <w:wordWrap/>
        <w:overflowPunct/>
        <w:topLinePunct w:val="0"/>
        <w:autoSpaceDE/>
        <w:autoSpaceDN/>
        <w:bidi w:val="0"/>
        <w:adjustRightInd w:val="0"/>
        <w:snapToGrid w:val="0"/>
        <w:spacing w:line="600" w:lineRule="exact"/>
        <w:jc w:val="left"/>
        <w:textAlignment w:val="auto"/>
        <w:rPr>
          <w:rFonts w:ascii="Times New Roman" w:hAnsi="Times New Roman" w:eastAsia="仿宋_GB2312" w:cs="Times New Roman"/>
          <w:kern w:val="2"/>
          <w:sz w:val="32"/>
          <w:szCs w:val="32"/>
          <w:lang w:val="en-US" w:eastAsia="zh-CN" w:bidi="ar-SA"/>
        </w:rPr>
      </w:pPr>
      <w:r>
        <w:rPr>
          <w:rFonts w:hint="eastAsia" w:ascii="Times New Roman" w:hAnsi="Times New Roman" w:cs="Times New Roman"/>
          <w:b/>
          <w:bCs/>
          <w:kern w:val="2"/>
          <w:sz w:val="32"/>
          <w:szCs w:val="32"/>
          <w:lang w:eastAsia="zh-CN"/>
        </w:rPr>
        <w:t>推进资源循环利用。</w:t>
      </w:r>
      <w:r>
        <w:rPr>
          <w:rFonts w:ascii="Times New Roman" w:hAnsi="Times New Roman" w:eastAsia="仿宋_GB2312" w:cs="Times New Roman"/>
          <w:kern w:val="2"/>
          <w:sz w:val="32"/>
          <w:szCs w:val="32"/>
          <w:lang w:val="en-US" w:eastAsia="zh-CN" w:bidi="ar-SA"/>
        </w:rPr>
        <w:t>践行珍惜资源、深度转化理念</w:t>
      </w:r>
      <w:r>
        <w:rPr>
          <w:rFonts w:hint="eastAsia" w:ascii="Times New Roman" w:hAnsi="Times New Roman" w:eastAsia="仿宋_GB2312" w:cs="Times New Roman"/>
          <w:kern w:val="2"/>
          <w:sz w:val="32"/>
          <w:szCs w:val="32"/>
          <w:lang w:val="en-US" w:eastAsia="zh-CN" w:bidi="ar-SA"/>
        </w:rPr>
        <w:t>，</w:t>
      </w:r>
      <w:r>
        <w:rPr>
          <w:rFonts w:ascii="Times New Roman" w:hAnsi="Times New Roman" w:eastAsia="仿宋_GB2312" w:cs="Times New Roman"/>
          <w:kern w:val="2"/>
          <w:sz w:val="32"/>
          <w:szCs w:val="32"/>
          <w:lang w:val="en-US" w:eastAsia="zh-CN" w:bidi="ar-SA"/>
        </w:rPr>
        <w:t>以大宗工业固废、化工危废、建筑垃圾等为重点，构建企业内部小循环、产业园区</w:t>
      </w:r>
      <w:r>
        <w:rPr>
          <w:rFonts w:hint="eastAsia" w:ascii="Times New Roman" w:hAnsi="Times New Roman" w:cs="Times New Roman"/>
          <w:kern w:val="2"/>
          <w:sz w:val="32"/>
          <w:szCs w:val="32"/>
          <w:lang w:val="en-US" w:eastAsia="zh-CN" w:bidi="ar-SA"/>
        </w:rPr>
        <w:t>大</w:t>
      </w:r>
      <w:r>
        <w:rPr>
          <w:rFonts w:ascii="Times New Roman" w:hAnsi="Times New Roman" w:eastAsia="仿宋_GB2312" w:cs="Times New Roman"/>
          <w:kern w:val="2"/>
          <w:sz w:val="32"/>
          <w:szCs w:val="32"/>
          <w:lang w:val="en-US" w:eastAsia="zh-CN" w:bidi="ar-SA"/>
        </w:rPr>
        <w:t>循环资源利用体系。建设园区公用热岛、废弃物集中处置等资源综合利用平台，促进园区能源梯级利用、废物交换利用，</w:t>
      </w:r>
      <w:r>
        <w:rPr>
          <w:rFonts w:hint="eastAsia" w:ascii="Times New Roman" w:hAnsi="Times New Roman" w:cs="Times New Roman"/>
          <w:kern w:val="2"/>
          <w:sz w:val="32"/>
          <w:szCs w:val="32"/>
          <w:lang w:val="en-US" w:eastAsia="zh-CN" w:bidi="ar-SA"/>
        </w:rPr>
        <w:t>支持</w:t>
      </w:r>
      <w:r>
        <w:rPr>
          <w:rFonts w:hint="eastAsia" w:ascii="Times New Roman" w:hAnsi="Times New Roman" w:eastAsia="仿宋_GB2312" w:cs="Times New Roman"/>
          <w:kern w:val="2"/>
          <w:sz w:val="32"/>
          <w:szCs w:val="32"/>
          <w:lang w:val="en-US" w:eastAsia="zh-CN" w:bidi="ar-SA"/>
        </w:rPr>
        <w:t>兰炭产业特色园区</w:t>
      </w:r>
      <w:r>
        <w:rPr>
          <w:rFonts w:ascii="Times New Roman" w:hAnsi="Times New Roman" w:eastAsia="仿宋_GB2312" w:cs="Times New Roman"/>
          <w:kern w:val="2"/>
          <w:sz w:val="32"/>
          <w:szCs w:val="32"/>
          <w:lang w:val="en-US" w:eastAsia="zh-CN" w:bidi="ar-SA"/>
        </w:rPr>
        <w:t>创建国家级循环化改造示范园区</w:t>
      </w:r>
      <w:r>
        <w:rPr>
          <w:rFonts w:hint="eastAsia" w:ascii="Times New Roman" w:hAnsi="Times New Roman" w:eastAsia="仿宋_GB2312" w:cs="Times New Roman"/>
          <w:kern w:val="2"/>
          <w:sz w:val="32"/>
          <w:szCs w:val="32"/>
          <w:lang w:val="en-US" w:eastAsia="zh-CN" w:bidi="ar-SA"/>
        </w:rPr>
        <w:t>。</w:t>
      </w:r>
      <w:r>
        <w:rPr>
          <w:rFonts w:ascii="Times New Roman" w:hAnsi="Times New Roman" w:eastAsia="仿宋_GB2312" w:cs="Times New Roman"/>
          <w:kern w:val="2"/>
          <w:sz w:val="32"/>
          <w:szCs w:val="32"/>
          <w:lang w:val="en-US" w:eastAsia="zh-CN" w:bidi="ar-SA"/>
        </w:rPr>
        <w:t>建立</w:t>
      </w:r>
      <w:r>
        <w:rPr>
          <w:rFonts w:hint="eastAsia" w:ascii="Times New Roman" w:hAnsi="Times New Roman" w:eastAsia="仿宋_GB2312" w:cs="Times New Roman"/>
          <w:kern w:val="2"/>
          <w:sz w:val="32"/>
          <w:szCs w:val="32"/>
          <w:lang w:val="en-US" w:eastAsia="zh-CN" w:bidi="ar-SA"/>
        </w:rPr>
        <w:t>能</w:t>
      </w:r>
      <w:r>
        <w:rPr>
          <w:rFonts w:ascii="Times New Roman" w:hAnsi="Times New Roman" w:eastAsia="仿宋_GB2312" w:cs="Times New Roman"/>
          <w:kern w:val="2"/>
          <w:sz w:val="32"/>
          <w:szCs w:val="32"/>
          <w:lang w:val="en-US" w:eastAsia="zh-CN" w:bidi="ar-SA"/>
        </w:rPr>
        <w:t>源从开采到转化到废弃物综合利用“吃干榨净”的全产业链，加快培育一批绿色产业龙头企业，推进化工固废循环利用。</w:t>
      </w:r>
    </w:p>
    <w:p>
      <w:pPr>
        <w:pStyle w:val="2"/>
        <w:keepNext w:val="0"/>
        <w:keepLines w:val="0"/>
        <w:pageBreakBefore w:val="0"/>
        <w:kinsoku/>
        <w:wordWrap/>
        <w:overflowPunct/>
        <w:topLinePunct w:val="0"/>
        <w:autoSpaceDE/>
        <w:autoSpaceDN/>
        <w:bidi w:val="0"/>
        <w:adjustRightInd w:val="0"/>
        <w:snapToGrid w:val="0"/>
        <w:spacing w:line="600" w:lineRule="exact"/>
        <w:ind w:firstLine="640"/>
        <w:jc w:val="both"/>
        <w:textAlignment w:val="auto"/>
        <w:rPr>
          <w:rFonts w:ascii="Times New Roman" w:hAnsi="Times New Roman" w:cs="Times New Roman"/>
          <w:kern w:val="2"/>
          <w:sz w:val="32"/>
          <w:szCs w:val="32"/>
        </w:rPr>
      </w:pPr>
      <w:r>
        <w:rPr>
          <w:rFonts w:hint="eastAsia" w:ascii="Times New Roman" w:hAnsi="Times New Roman" w:cs="Times New Roman"/>
          <w:b/>
          <w:bCs/>
          <w:kern w:val="2"/>
          <w:sz w:val="32"/>
          <w:szCs w:val="32"/>
          <w:lang w:eastAsia="zh-CN"/>
        </w:rPr>
        <w:t>建设低碳节能城市。</w:t>
      </w:r>
      <w:r>
        <w:rPr>
          <w:rFonts w:hint="eastAsia" w:ascii="Times New Roman" w:hAnsi="Times New Roman" w:cs="Times New Roman"/>
          <w:kern w:val="2"/>
          <w:sz w:val="32"/>
          <w:szCs w:val="32"/>
          <w:lang w:val="en-US" w:eastAsia="zh-CN"/>
        </w:rPr>
        <w:t>按照碳达峰和碳中和的目标要求，加快谋划碳达峰时间表和路线图，抓紧启动碳排放达峰行动方案编制，将“降碳”作为产业转型和能源结构调整的重点工作。</w:t>
      </w:r>
      <w:r>
        <w:rPr>
          <w:rFonts w:ascii="Times New Roman" w:hAnsi="Times New Roman" w:cs="Times New Roman"/>
          <w:kern w:val="2"/>
          <w:sz w:val="32"/>
          <w:szCs w:val="32"/>
        </w:rPr>
        <w:t>加快对电石、兰炭等传统产业清洁</w:t>
      </w:r>
      <w:r>
        <w:rPr>
          <w:rFonts w:hint="eastAsia" w:ascii="Times New Roman" w:hAnsi="Times New Roman" w:cs="Times New Roman"/>
          <w:kern w:val="2"/>
          <w:sz w:val="32"/>
          <w:szCs w:val="32"/>
        </w:rPr>
        <w:t>化、</w:t>
      </w:r>
      <w:r>
        <w:rPr>
          <w:rFonts w:ascii="Times New Roman" w:hAnsi="Times New Roman" w:cs="Times New Roman"/>
          <w:kern w:val="2"/>
          <w:sz w:val="32"/>
          <w:szCs w:val="32"/>
        </w:rPr>
        <w:t>绿色化改造，实施能源清洁低碳安全高效利用，创建资源型城市碳中和试验区。实行能耗总量和单耗“双控”，强化高耗能行业及重点耗能单位节能审查，实现重点用能单位</w:t>
      </w:r>
      <w:r>
        <w:rPr>
          <w:rFonts w:hint="eastAsia" w:ascii="Times New Roman" w:hAnsi="Times New Roman" w:cs="Times New Roman"/>
          <w:kern w:val="2"/>
          <w:sz w:val="32"/>
          <w:szCs w:val="32"/>
        </w:rPr>
        <w:t>在线</w:t>
      </w:r>
      <w:r>
        <w:rPr>
          <w:rFonts w:ascii="Times New Roman" w:hAnsi="Times New Roman" w:cs="Times New Roman"/>
          <w:kern w:val="2"/>
          <w:sz w:val="32"/>
          <w:szCs w:val="32"/>
        </w:rPr>
        <w:t>监测全覆盖。统筹推进工业、公共机构等重点领域节能降碳，</w:t>
      </w:r>
      <w:r>
        <w:rPr>
          <w:rFonts w:hint="eastAsia" w:ascii="Times New Roman" w:hAnsi="Times New Roman" w:cs="Times New Roman"/>
          <w:kern w:val="2"/>
          <w:sz w:val="32"/>
          <w:szCs w:val="32"/>
        </w:rPr>
        <w:t>创建</w:t>
      </w:r>
      <w:r>
        <w:rPr>
          <w:rFonts w:ascii="Times New Roman" w:hAnsi="Times New Roman" w:cs="Times New Roman"/>
          <w:kern w:val="2"/>
          <w:sz w:val="32"/>
          <w:szCs w:val="32"/>
        </w:rPr>
        <w:t>智慧低碳城市。新建建筑</w:t>
      </w:r>
      <w:r>
        <w:rPr>
          <w:rFonts w:hint="eastAsia" w:ascii="Times New Roman" w:hAnsi="Times New Roman" w:cs="Times New Roman"/>
          <w:kern w:val="2"/>
          <w:sz w:val="32"/>
          <w:szCs w:val="32"/>
        </w:rPr>
        <w:t>全面</w:t>
      </w:r>
      <w:r>
        <w:rPr>
          <w:rFonts w:ascii="Times New Roman" w:hAnsi="Times New Roman" w:cs="Times New Roman"/>
          <w:kern w:val="2"/>
          <w:sz w:val="32"/>
          <w:szCs w:val="32"/>
        </w:rPr>
        <w:t>落实节能标准，推广装配式建筑和绿色建筑。新建化工项目</w:t>
      </w:r>
      <w:r>
        <w:rPr>
          <w:rFonts w:hint="eastAsia" w:ascii="Times New Roman" w:hAnsi="Times New Roman" w:cs="Times New Roman"/>
          <w:kern w:val="2"/>
          <w:sz w:val="32"/>
          <w:szCs w:val="32"/>
        </w:rPr>
        <w:t>单耗</w:t>
      </w:r>
      <w:r>
        <w:rPr>
          <w:rFonts w:ascii="Times New Roman" w:hAnsi="Times New Roman" w:cs="Times New Roman"/>
          <w:kern w:val="2"/>
          <w:sz w:val="32"/>
          <w:szCs w:val="32"/>
        </w:rPr>
        <w:t>达</w:t>
      </w:r>
      <w:r>
        <w:rPr>
          <w:rFonts w:hint="eastAsia" w:ascii="Times New Roman" w:hAnsi="Times New Roman" w:cs="Times New Roman"/>
          <w:kern w:val="2"/>
          <w:sz w:val="32"/>
          <w:szCs w:val="32"/>
        </w:rPr>
        <w:t>到</w:t>
      </w:r>
      <w:r>
        <w:rPr>
          <w:rFonts w:ascii="Times New Roman" w:hAnsi="Times New Roman" w:cs="Times New Roman"/>
          <w:kern w:val="2"/>
          <w:sz w:val="32"/>
          <w:szCs w:val="32"/>
        </w:rPr>
        <w:t>国内一流水平</w:t>
      </w:r>
      <w:r>
        <w:rPr>
          <w:rFonts w:hint="eastAsia" w:ascii="Times New Roman" w:hAnsi="Times New Roman" w:cs="Times New Roman"/>
          <w:kern w:val="2"/>
          <w:sz w:val="32"/>
          <w:szCs w:val="32"/>
        </w:rPr>
        <w:t>。到2025年</w:t>
      </w:r>
      <w:r>
        <w:rPr>
          <w:rFonts w:ascii="Times New Roman" w:hAnsi="Times New Roman" w:cs="Times New Roman"/>
          <w:kern w:val="2"/>
          <w:sz w:val="32"/>
          <w:szCs w:val="32"/>
        </w:rPr>
        <w:t>，全市能耗总量控制在</w:t>
      </w:r>
      <w:r>
        <w:rPr>
          <w:rFonts w:hint="eastAsia" w:ascii="Times New Roman" w:hAnsi="Times New Roman" w:cs="Times New Roman"/>
          <w:kern w:val="2"/>
          <w:sz w:val="32"/>
          <w:szCs w:val="32"/>
          <w:lang w:val="en-US" w:eastAsia="zh-CN"/>
        </w:rPr>
        <w:t>2000</w:t>
      </w:r>
      <w:r>
        <w:rPr>
          <w:rFonts w:ascii="Times New Roman" w:hAnsi="Times New Roman" w:cs="Times New Roman"/>
          <w:kern w:val="2"/>
          <w:sz w:val="32"/>
          <w:szCs w:val="32"/>
        </w:rPr>
        <w:t>万吨以内，规模以上工业增加值能耗降至1.39吨标准煤，年均下降3.5%。</w:t>
      </w:r>
    </w:p>
    <w:p>
      <w:pPr>
        <w:keepNext w:val="0"/>
        <w:keepLines w:val="0"/>
        <w:pageBreakBefore w:val="0"/>
        <w:kinsoku/>
        <w:wordWrap/>
        <w:overflowPunct/>
        <w:topLinePunct w:val="0"/>
        <w:autoSpaceDE/>
        <w:autoSpaceDN/>
        <w:bidi w:val="0"/>
        <w:adjustRightInd w:val="0"/>
        <w:snapToGrid w:val="0"/>
        <w:spacing w:line="600" w:lineRule="exact"/>
        <w:jc w:val="both"/>
        <w:textAlignment w:val="auto"/>
        <w:rPr>
          <w:rFonts w:hint="eastAsia" w:eastAsia="仿宋_GB2312"/>
          <w:lang w:eastAsia="zh-CN"/>
        </w:rPr>
      </w:pPr>
      <w:r>
        <w:rPr>
          <w:rFonts w:hint="eastAsia" w:ascii="Times New Roman" w:hAnsi="Times New Roman" w:cs="Times New Roman"/>
          <w:b/>
          <w:bCs/>
          <w:kern w:val="2"/>
          <w:sz w:val="32"/>
          <w:szCs w:val="32"/>
          <w:lang w:eastAsia="zh-CN"/>
        </w:rPr>
        <w:t>健全绿色发展机制体制。</w:t>
      </w:r>
      <w:r>
        <w:rPr>
          <w:rFonts w:ascii="Times New Roman" w:hAnsi="Times New Roman" w:cs="Times New Roman"/>
          <w:kern w:val="2"/>
          <w:sz w:val="32"/>
          <w:szCs w:val="32"/>
        </w:rPr>
        <w:t>推动自然资源资产所有权和使用权分离，建立自然资源资产有偿出让制度和用途管制制度。严守资源环境生态红线</w:t>
      </w:r>
      <w:r>
        <w:rPr>
          <w:rFonts w:hint="eastAsia" w:ascii="Times New Roman" w:hAnsi="Times New Roman" w:cs="Times New Roman"/>
          <w:kern w:val="2"/>
          <w:sz w:val="32"/>
          <w:szCs w:val="32"/>
        </w:rPr>
        <w:t>，</w:t>
      </w:r>
      <w:r>
        <w:rPr>
          <w:rFonts w:ascii="Times New Roman" w:hAnsi="Times New Roman" w:cs="Times New Roman"/>
          <w:kern w:val="2"/>
          <w:sz w:val="32"/>
          <w:szCs w:val="32"/>
        </w:rPr>
        <w:t>探索建立资源环境承载能力监测预警机制。整合现有</w:t>
      </w:r>
      <w:r>
        <w:rPr>
          <w:rFonts w:hint="eastAsia" w:ascii="Times New Roman" w:hAnsi="Times New Roman" w:cs="Times New Roman"/>
          <w:kern w:val="2"/>
          <w:sz w:val="32"/>
          <w:szCs w:val="32"/>
        </w:rPr>
        <w:t>生态建设</w:t>
      </w:r>
      <w:r>
        <w:rPr>
          <w:rFonts w:ascii="Times New Roman" w:hAnsi="Times New Roman" w:cs="Times New Roman"/>
          <w:kern w:val="2"/>
          <w:sz w:val="32"/>
          <w:szCs w:val="32"/>
        </w:rPr>
        <w:t>资金，设立生态保护补偿基金</w:t>
      </w:r>
      <w:r>
        <w:rPr>
          <w:rFonts w:hint="eastAsia" w:ascii="Times New Roman" w:hAnsi="Times New Roman" w:cs="Times New Roman"/>
          <w:kern w:val="2"/>
          <w:sz w:val="32"/>
          <w:szCs w:val="32"/>
        </w:rPr>
        <w:t>，用于生态修复</w:t>
      </w:r>
      <w:r>
        <w:rPr>
          <w:rFonts w:ascii="Times New Roman" w:hAnsi="Times New Roman" w:cs="Times New Roman"/>
          <w:kern w:val="2"/>
          <w:sz w:val="32"/>
          <w:szCs w:val="32"/>
        </w:rPr>
        <w:t>。开展用能权、排污权、碳排放权、水权交易，争取</w:t>
      </w:r>
      <w:r>
        <w:rPr>
          <w:rFonts w:hint="eastAsia" w:ascii="Times New Roman" w:hAnsi="Times New Roman" w:cs="Times New Roman"/>
          <w:kern w:val="2"/>
          <w:sz w:val="32"/>
          <w:szCs w:val="32"/>
        </w:rPr>
        <w:t>创建</w:t>
      </w:r>
      <w:r>
        <w:rPr>
          <w:rFonts w:ascii="Times New Roman" w:hAnsi="Times New Roman" w:cs="Times New Roman"/>
          <w:kern w:val="2"/>
          <w:sz w:val="32"/>
          <w:szCs w:val="32"/>
        </w:rPr>
        <w:t>国家生态综合补偿试点。建立生态文明目标评价体系</w:t>
      </w:r>
      <w:r>
        <w:rPr>
          <w:rFonts w:hint="eastAsia" w:ascii="Times New Roman" w:hAnsi="Times New Roman" w:cs="Times New Roman"/>
          <w:kern w:val="2"/>
          <w:sz w:val="32"/>
          <w:szCs w:val="32"/>
        </w:rPr>
        <w:t>，</w:t>
      </w:r>
      <w:r>
        <w:rPr>
          <w:rFonts w:ascii="Times New Roman" w:hAnsi="Times New Roman" w:cs="Times New Roman"/>
          <w:kern w:val="2"/>
          <w:sz w:val="32"/>
          <w:szCs w:val="32"/>
        </w:rPr>
        <w:t>将生态文明建设考核目标体系和绿色发展指标体系</w:t>
      </w:r>
      <w:r>
        <w:rPr>
          <w:rFonts w:hint="eastAsia" w:ascii="Times New Roman" w:hAnsi="Times New Roman" w:cs="Times New Roman"/>
          <w:kern w:val="2"/>
          <w:sz w:val="32"/>
          <w:szCs w:val="32"/>
        </w:rPr>
        <w:t>，纳入年度目标责任考核</w:t>
      </w:r>
      <w:r>
        <w:rPr>
          <w:rFonts w:ascii="Times New Roman" w:hAnsi="Times New Roman" w:cs="Times New Roman"/>
          <w:kern w:val="2"/>
          <w:sz w:val="32"/>
          <w:szCs w:val="32"/>
        </w:rPr>
        <w:t>。</w:t>
      </w:r>
      <w:r>
        <w:rPr>
          <w:rFonts w:hint="eastAsia" w:ascii="Times New Roman" w:hAnsi="Times New Roman" w:cs="Times New Roman"/>
          <w:kern w:val="2"/>
          <w:sz w:val="32"/>
          <w:szCs w:val="32"/>
        </w:rPr>
        <w:t>大力</w:t>
      </w:r>
      <w:r>
        <w:rPr>
          <w:rFonts w:ascii="Times New Roman" w:hAnsi="Times New Roman" w:cs="Times New Roman"/>
          <w:kern w:val="2"/>
          <w:sz w:val="32"/>
          <w:szCs w:val="32"/>
        </w:rPr>
        <w:t>发展绿色金融。</w:t>
      </w:r>
      <w:r>
        <w:rPr>
          <w:rFonts w:hint="eastAsia" w:ascii="Times New Roman" w:hAnsi="Times New Roman" w:cs="Times New Roman"/>
          <w:kern w:val="2"/>
          <w:sz w:val="32"/>
          <w:szCs w:val="32"/>
        </w:rPr>
        <w:t>配套</w:t>
      </w:r>
      <w:r>
        <w:rPr>
          <w:rFonts w:ascii="Times New Roman" w:hAnsi="Times New Roman" w:cs="Times New Roman"/>
          <w:kern w:val="2"/>
          <w:sz w:val="32"/>
          <w:szCs w:val="32"/>
        </w:rPr>
        <w:t>市级环保引导资金，吸引社会资本参与生态文明建设</w:t>
      </w:r>
      <w:r>
        <w:rPr>
          <w:rFonts w:hint="eastAsia" w:cs="Times New Roman"/>
          <w:kern w:val="2"/>
          <w:sz w:val="32"/>
          <w:szCs w:val="32"/>
          <w:lang w:eastAsia="zh-CN"/>
        </w:rPr>
        <w:t>。</w:t>
      </w:r>
    </w:p>
    <w:tbl>
      <w:tblPr>
        <w:tblStyle w:val="25"/>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91" w:type="dxa"/>
          </w:tcPr>
          <w:p>
            <w:pPr>
              <w:pStyle w:val="10"/>
              <w:ind w:firstLine="0" w:firstLineChars="0"/>
              <w:jc w:val="left"/>
              <w:rPr>
                <w:rFonts w:cs="Times New Roman"/>
                <w:b/>
                <w:bCs/>
                <w:szCs w:val="28"/>
                <w:shd w:val="clear" w:color="auto" w:fill="FFFFFF"/>
              </w:rPr>
            </w:pPr>
            <w:r>
              <w:rPr>
                <w:rFonts w:hint="eastAsia" w:ascii="黑体" w:hAnsi="黑体" w:eastAsia="黑体" w:cs="黑体"/>
                <w:sz w:val="24"/>
                <w:szCs w:val="24"/>
                <w:lang w:val="en-US" w:eastAsia="zh-CN" w:bidi="ar-SA"/>
              </w:rPr>
              <w:t>专栏20：</w:t>
            </w:r>
            <w:r>
              <w:rPr>
                <w:rFonts w:hint="eastAsia" w:ascii="仿宋_GB2312" w:hAnsi="仿宋_GB2312" w:eastAsia="仿宋_GB2312" w:cs="仿宋_GB2312"/>
                <w:sz w:val="24"/>
                <w:szCs w:val="24"/>
                <w:lang w:val="en-US" w:eastAsia="zh-CN" w:bidi="ar-SA"/>
              </w:rPr>
              <w:t xml:space="preserve"> </w:t>
            </w:r>
            <w:r>
              <w:rPr>
                <w:rFonts w:cs="Times New Roman"/>
                <w:b/>
                <w:bCs/>
                <w:szCs w:val="28"/>
                <w:shd w:val="clear" w:color="auto" w:fill="FFFFFF"/>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黑体" w:hAnsi="黑体" w:eastAsia="黑体" w:cs="黑体"/>
                <w:b w:val="0"/>
                <w:bCs w:val="0"/>
                <w:sz w:val="28"/>
                <w:szCs w:val="28"/>
                <w:shd w:val="clear" w:color="auto" w:fill="FFFFFF"/>
              </w:rPr>
            </w:pPr>
            <w:r>
              <w:rPr>
                <w:rFonts w:hint="eastAsia" w:ascii="黑体" w:hAnsi="黑体" w:eastAsia="黑体" w:cs="黑体"/>
                <w:b w:val="0"/>
                <w:bCs w:val="0"/>
                <w:sz w:val="28"/>
                <w:szCs w:val="28"/>
                <w:shd w:val="clear" w:color="auto" w:fill="FFFFFF"/>
              </w:rPr>
              <w:t>节能降耗重点工程</w:t>
            </w:r>
          </w:p>
          <w:p>
            <w:pPr>
              <w:keepNext w:val="0"/>
              <w:keepLines w:val="0"/>
              <w:pageBreakBefore w:val="0"/>
              <w:widowControl/>
              <w:kinsoku/>
              <w:wordWrap/>
              <w:overflowPunct/>
              <w:topLinePunct w:val="0"/>
              <w:autoSpaceDE/>
              <w:autoSpaceDN/>
              <w:bidi w:val="0"/>
              <w:adjustRightInd/>
              <w:snapToGrid/>
              <w:spacing w:line="400" w:lineRule="exact"/>
              <w:ind w:firstLine="480"/>
              <w:jc w:val="both"/>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bCs/>
                <w:sz w:val="24"/>
                <w:szCs w:val="24"/>
              </w:rPr>
              <w:t>传统产业升级改造</w:t>
            </w:r>
            <w:r>
              <w:rPr>
                <w:rStyle w:val="77"/>
                <w:rFonts w:hint="eastAsia" w:ascii="楷体_GB2312" w:hAnsi="楷体_GB2312" w:eastAsia="楷体_GB2312" w:cs="楷体_GB2312"/>
                <w:b/>
                <w:bCs/>
                <w:sz w:val="24"/>
                <w:szCs w:val="24"/>
              </w:rPr>
              <w:t>：</w:t>
            </w:r>
            <w:r>
              <w:rPr>
                <w:rFonts w:hint="eastAsia" w:ascii="仿宋_GB2312" w:hAnsi="仿宋_GB2312" w:eastAsia="仿宋_GB2312" w:cs="仿宋_GB2312"/>
                <w:sz w:val="24"/>
                <w:szCs w:val="24"/>
              </w:rPr>
              <w:t>实施电石、兰炭、金属镁等传统产业升级改造</w:t>
            </w:r>
            <w:r>
              <w:rPr>
                <w:rFonts w:hint="eastAsia" w:ascii="仿宋_GB2312" w:hAnsi="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jc w:val="both"/>
              <w:textAlignment w:val="auto"/>
              <w:rPr>
                <w:rFonts w:hint="eastAsia" w:ascii="仿宋_GB2312" w:hAnsi="仿宋_GB2312" w:eastAsia="仿宋_GB2312" w:cs="仿宋_GB2312"/>
                <w:b/>
                <w:bCs/>
                <w:sz w:val="24"/>
                <w:szCs w:val="24"/>
                <w:lang w:eastAsia="zh-CN"/>
              </w:rPr>
            </w:pPr>
            <w:r>
              <w:rPr>
                <w:rFonts w:hint="eastAsia" w:ascii="楷体_GB2312" w:hAnsi="楷体_GB2312" w:eastAsia="楷体_GB2312" w:cs="楷体_GB2312"/>
                <w:b/>
                <w:bCs/>
                <w:sz w:val="24"/>
                <w:szCs w:val="24"/>
              </w:rPr>
              <w:t>能效提升行动：</w:t>
            </w:r>
            <w:r>
              <w:rPr>
                <w:rFonts w:hint="eastAsia" w:ascii="仿宋_GB2312" w:hAnsi="仿宋_GB2312" w:eastAsia="仿宋_GB2312" w:cs="仿宋_GB2312"/>
                <w:sz w:val="24"/>
                <w:szCs w:val="24"/>
              </w:rPr>
              <w:t>开展传统产业能效对标行动，降低传统产业能耗</w:t>
            </w:r>
            <w:r>
              <w:rPr>
                <w:rFonts w:hint="eastAsia" w:ascii="仿宋_GB2312" w:hAnsi="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jc w:val="both"/>
              <w:textAlignment w:val="auto"/>
              <w:rPr>
                <w:rStyle w:val="77"/>
                <w:rFonts w:hint="eastAsia" w:ascii="仿宋_GB2312" w:hAnsi="仿宋_GB2312" w:eastAsia="仿宋_GB2312" w:cs="仿宋_GB2312"/>
                <w:sz w:val="24"/>
                <w:szCs w:val="24"/>
                <w:lang w:eastAsia="zh-CN"/>
              </w:rPr>
            </w:pPr>
            <w:r>
              <w:rPr>
                <w:rStyle w:val="77"/>
                <w:rFonts w:hint="eastAsia" w:ascii="楷体_GB2312" w:hAnsi="楷体_GB2312" w:eastAsia="楷体_GB2312" w:cs="楷体_GB2312"/>
                <w:b/>
                <w:bCs/>
                <w:sz w:val="24"/>
                <w:szCs w:val="24"/>
              </w:rPr>
              <w:t>绿色技术创新：</w:t>
            </w:r>
            <w:r>
              <w:rPr>
                <w:rStyle w:val="77"/>
                <w:rFonts w:hint="eastAsia" w:ascii="仿宋_GB2312" w:hAnsi="仿宋_GB2312" w:eastAsia="仿宋_GB2312" w:cs="仿宋_GB2312"/>
                <w:sz w:val="24"/>
                <w:szCs w:val="24"/>
              </w:rPr>
              <w:t>推广适合西部沙化地区的保水采煤、填充式开采、无煤柱连续开采、地下气化等技术示范</w:t>
            </w:r>
            <w:r>
              <w:rPr>
                <w:rStyle w:val="77"/>
                <w:rFonts w:hint="eastAsia" w:ascii="仿宋_GB2312" w:hAnsi="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jc w:val="both"/>
              <w:textAlignment w:val="auto"/>
              <w:rPr>
                <w:rStyle w:val="77"/>
                <w:rFonts w:hint="eastAsia" w:ascii="仿宋_GB2312" w:hAnsi="仿宋_GB2312" w:eastAsia="仿宋_GB2312" w:cs="仿宋_GB2312"/>
                <w:sz w:val="24"/>
                <w:szCs w:val="24"/>
                <w:lang w:eastAsia="zh-CN"/>
              </w:rPr>
            </w:pPr>
            <w:r>
              <w:rPr>
                <w:rStyle w:val="77"/>
                <w:rFonts w:hint="eastAsia" w:ascii="楷体_GB2312" w:hAnsi="楷体_GB2312" w:eastAsia="楷体_GB2312" w:cs="楷体_GB2312"/>
                <w:b/>
                <w:bCs/>
                <w:sz w:val="24"/>
                <w:szCs w:val="24"/>
              </w:rPr>
              <w:t>散煤综合治理工程：</w:t>
            </w:r>
            <w:r>
              <w:rPr>
                <w:rStyle w:val="77"/>
                <w:rFonts w:hint="eastAsia" w:ascii="仿宋_GB2312" w:hAnsi="仿宋_GB2312" w:eastAsia="仿宋_GB2312" w:cs="仿宋_GB2312"/>
                <w:sz w:val="24"/>
                <w:szCs w:val="24"/>
                <w:lang w:val="en-US" w:eastAsia="zh-CN"/>
              </w:rPr>
              <w:t>在重点镇推进</w:t>
            </w:r>
            <w:r>
              <w:rPr>
                <w:rStyle w:val="77"/>
                <w:rFonts w:hint="eastAsia" w:ascii="仿宋_GB2312" w:hAnsi="仿宋_GB2312" w:eastAsia="仿宋_GB2312" w:cs="仿宋_GB2312"/>
                <w:sz w:val="24"/>
                <w:szCs w:val="24"/>
              </w:rPr>
              <w:t>天然气、电力、洁净型煤及可再生能源等清洁能源替代民用散煤</w:t>
            </w:r>
            <w:r>
              <w:rPr>
                <w:rStyle w:val="77"/>
                <w:rFonts w:hint="eastAsia" w:ascii="仿宋_GB2312" w:hAnsi="仿宋_GB2312" w:eastAsia="仿宋_GB2312" w:cs="仿宋_GB2312"/>
                <w:sz w:val="24"/>
                <w:szCs w:val="24"/>
                <w:lang w:eastAsia="zh-CN"/>
              </w:rPr>
              <w:t>；</w:t>
            </w:r>
            <w:r>
              <w:rPr>
                <w:rStyle w:val="77"/>
                <w:rFonts w:hint="eastAsia" w:ascii="仿宋_GB2312" w:hAnsi="仿宋_GB2312" w:eastAsia="仿宋_GB2312" w:cs="仿宋_GB2312"/>
                <w:sz w:val="24"/>
                <w:szCs w:val="24"/>
              </w:rPr>
              <w:t>推进工业园区智慧能源建设，2025年实现重点工业园区公用工程岛全覆盖</w:t>
            </w:r>
            <w:r>
              <w:rPr>
                <w:rStyle w:val="77"/>
                <w:rFonts w:hint="eastAsia" w:ascii="仿宋_GB2312" w:hAnsi="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jc w:val="both"/>
              <w:textAlignment w:val="auto"/>
              <w:rPr>
                <w:rStyle w:val="77"/>
                <w:rFonts w:hint="eastAsia" w:ascii="仿宋_GB2312" w:hAnsi="仿宋_GB2312" w:eastAsia="仿宋_GB2312" w:cs="仿宋_GB2312"/>
                <w:sz w:val="24"/>
                <w:szCs w:val="24"/>
                <w:lang w:eastAsia="zh-CN"/>
              </w:rPr>
            </w:pPr>
            <w:r>
              <w:rPr>
                <w:rStyle w:val="77"/>
                <w:rFonts w:hint="eastAsia" w:ascii="楷体_GB2312" w:hAnsi="楷体_GB2312" w:eastAsia="楷体_GB2312" w:cs="楷体_GB2312"/>
                <w:b/>
                <w:bCs/>
                <w:sz w:val="24"/>
                <w:szCs w:val="24"/>
              </w:rPr>
              <w:t>绿色建筑和装配式建筑：</w:t>
            </w:r>
            <w:r>
              <w:rPr>
                <w:rStyle w:val="77"/>
                <w:rFonts w:hint="eastAsia" w:ascii="仿宋_GB2312" w:hAnsi="仿宋_GB2312" w:eastAsia="仿宋_GB2312" w:cs="仿宋_GB2312"/>
                <w:sz w:val="24"/>
                <w:szCs w:val="24"/>
              </w:rPr>
              <w:t>发展装配式建筑，推进全市绿色建筑规模化发展</w:t>
            </w:r>
            <w:r>
              <w:rPr>
                <w:rStyle w:val="77"/>
                <w:rFonts w:hint="eastAsia" w:ascii="仿宋_GB2312" w:hAnsi="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jc w:val="both"/>
              <w:textAlignment w:val="auto"/>
              <w:rPr>
                <w:rFonts w:eastAsia="宋体" w:cs="Times New Roman"/>
                <w:sz w:val="24"/>
                <w:szCs w:val="24"/>
              </w:rPr>
            </w:pPr>
            <w:r>
              <w:rPr>
                <w:rStyle w:val="77"/>
                <w:rFonts w:hint="eastAsia" w:ascii="楷体_GB2312" w:hAnsi="楷体_GB2312" w:eastAsia="楷体_GB2312" w:cs="楷体_GB2312"/>
                <w:b/>
                <w:bCs/>
                <w:sz w:val="24"/>
                <w:szCs w:val="24"/>
              </w:rPr>
              <w:t>低碳交通工程：</w:t>
            </w:r>
            <w:r>
              <w:rPr>
                <w:rStyle w:val="77"/>
                <w:rFonts w:hint="eastAsia" w:ascii="仿宋_GB2312" w:hAnsi="仿宋_GB2312" w:eastAsia="仿宋_GB2312" w:cs="仿宋_GB2312"/>
                <w:sz w:val="24"/>
                <w:szCs w:val="24"/>
              </w:rPr>
              <w:t>在公交、重卡等领域加大氢燃料电池汽车推广力度</w:t>
            </w:r>
            <w:r>
              <w:rPr>
                <w:rStyle w:val="77"/>
                <w:rFonts w:hint="eastAsia" w:ascii="仿宋_GB2312" w:hAnsi="仿宋_GB2312" w:cs="仿宋_GB2312"/>
                <w:sz w:val="24"/>
                <w:szCs w:val="24"/>
                <w:lang w:eastAsia="zh-CN"/>
              </w:rPr>
              <w:t>；</w:t>
            </w:r>
            <w:r>
              <w:rPr>
                <w:rStyle w:val="77"/>
                <w:rFonts w:hint="eastAsia" w:ascii="仿宋_GB2312" w:hAnsi="仿宋_GB2312" w:eastAsia="仿宋_GB2312" w:cs="仿宋_GB2312"/>
                <w:sz w:val="24"/>
                <w:szCs w:val="24"/>
              </w:rPr>
              <w:t>公共交通全面应用清洁能源汽车</w:t>
            </w:r>
            <w:r>
              <w:rPr>
                <w:rStyle w:val="77"/>
                <w:rFonts w:hint="eastAsia" w:ascii="仿宋_GB2312" w:hAnsi="仿宋_GB2312" w:cs="仿宋_GB2312"/>
                <w:sz w:val="24"/>
                <w:szCs w:val="24"/>
                <w:lang w:eastAsia="zh-CN"/>
              </w:rPr>
              <w:t>；</w:t>
            </w:r>
            <w:r>
              <w:rPr>
                <w:rStyle w:val="77"/>
                <w:rFonts w:hint="eastAsia" w:ascii="仿宋_GB2312" w:hAnsi="仿宋_GB2312" w:eastAsia="仿宋_GB2312" w:cs="仿宋_GB2312"/>
                <w:sz w:val="24"/>
                <w:szCs w:val="24"/>
              </w:rPr>
              <w:t>引导消费者购买新能源汽车。</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03" w:name="_Toc11295"/>
      <w:bookmarkStart w:id="104" w:name="_Toc7884"/>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val="en-US" w:eastAsia="zh-CN"/>
        </w:rPr>
        <w:t>七</w:t>
      </w:r>
      <w:r>
        <w:rPr>
          <w:rFonts w:hint="eastAsia" w:ascii="楷体_GB2312" w:hAnsi="楷体_GB2312" w:eastAsia="楷体_GB2312" w:cs="楷体_GB2312"/>
          <w:bCs/>
          <w:sz w:val="32"/>
          <w:szCs w:val="32"/>
        </w:rPr>
        <w:t xml:space="preserve">节 </w:t>
      </w:r>
      <w:r>
        <w:rPr>
          <w:rFonts w:hint="eastAsia" w:ascii="楷体_GB2312" w:hAnsi="楷体_GB2312" w:eastAsia="楷体_GB2312" w:cs="楷体_GB2312"/>
          <w:bCs/>
          <w:sz w:val="32"/>
          <w:szCs w:val="32"/>
          <w:lang w:val="en-US" w:eastAsia="zh-CN"/>
        </w:rPr>
        <w:t>加大工业污染防治力度</w:t>
      </w:r>
      <w:bookmarkEnd w:id="103"/>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pPr>
      <w:r>
        <w:rPr>
          <w:rFonts w:hint="eastAsia" w:ascii="Times New Roman" w:hAnsi="Times New Roman" w:eastAsia="仿宋_GB2312" w:cs="Times New Roman"/>
          <w:kern w:val="2"/>
          <w:sz w:val="32"/>
          <w:szCs w:val="32"/>
          <w:lang w:val="en-US" w:eastAsia="zh-CN" w:bidi="ar-SA"/>
        </w:rPr>
        <w:t>调整优化产业结构和布局，开展煤炭、火电、焦化、化工等行业强制性清洁生产，将高耗水、高污染企业迁入</w:t>
      </w:r>
      <w:r>
        <w:rPr>
          <w:rFonts w:hint="eastAsia" w:ascii="Times New Roman" w:hAnsi="Times New Roman" w:cs="Times New Roman"/>
          <w:kern w:val="2"/>
          <w:sz w:val="32"/>
          <w:szCs w:val="32"/>
          <w:lang w:val="en-US" w:eastAsia="zh-CN" w:bidi="ar-SA"/>
        </w:rPr>
        <w:t>工业</w:t>
      </w:r>
      <w:r>
        <w:rPr>
          <w:rFonts w:hint="eastAsia" w:ascii="Times New Roman" w:hAnsi="Times New Roman" w:eastAsia="仿宋_GB2312" w:cs="Times New Roman"/>
          <w:kern w:val="2"/>
          <w:sz w:val="32"/>
          <w:szCs w:val="32"/>
          <w:lang w:val="en-US" w:eastAsia="zh-CN" w:bidi="ar-SA"/>
        </w:rPr>
        <w:t>园区。</w:t>
      </w:r>
      <w:r>
        <w:rPr>
          <w:rFonts w:hint="eastAsia" w:ascii="Times New Roman" w:hAnsi="Times New Roman" w:eastAsia="仿宋_GB2312" w:cs="Times New Roman"/>
          <w:kern w:val="2"/>
          <w:sz w:val="32"/>
          <w:szCs w:val="32"/>
          <w:highlight w:val="none"/>
          <w:lang w:val="en-US" w:eastAsia="zh-CN" w:bidi="ar-SA"/>
        </w:rPr>
        <w:t>系统推进全市地下水超采治理</w:t>
      </w:r>
      <w:r>
        <w:rPr>
          <w:rFonts w:hint="eastAsia"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多渠道增加水源补给，</w:t>
      </w:r>
      <w:r>
        <w:rPr>
          <w:rFonts w:hint="eastAsia" w:cs="Times New Roman"/>
          <w:kern w:val="2"/>
          <w:sz w:val="32"/>
          <w:szCs w:val="32"/>
          <w:lang w:val="en-US" w:eastAsia="zh-CN" w:bidi="ar-SA"/>
        </w:rPr>
        <w:t>严控</w:t>
      </w:r>
      <w:r>
        <w:rPr>
          <w:rFonts w:hint="eastAsia" w:ascii="Times New Roman" w:hAnsi="Times New Roman" w:eastAsia="仿宋_GB2312" w:cs="Times New Roman"/>
          <w:kern w:val="2"/>
          <w:sz w:val="32"/>
          <w:szCs w:val="32"/>
          <w:lang w:val="en-US" w:eastAsia="zh-CN" w:bidi="ar-SA"/>
        </w:rPr>
        <w:t>地下水超采量</w:t>
      </w:r>
      <w:r>
        <w:rPr>
          <w:rFonts w:hint="eastAsia"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提高区域水资源水环境承载能力。综合推进矿区生态环境系统的清洁生产技术、矿井水处理、尾矿利用、大气污染防治、土地复垦、生态重建等治理工作，实现环境美化与经济效益最大化。加强工业废弃物风险管控和历史遗留</w:t>
      </w:r>
      <w:r>
        <w:rPr>
          <w:rFonts w:hint="eastAsia" w:cs="Times New Roman"/>
          <w:kern w:val="2"/>
          <w:sz w:val="32"/>
          <w:szCs w:val="32"/>
          <w:lang w:val="en-US" w:eastAsia="zh-CN" w:bidi="ar-SA"/>
        </w:rPr>
        <w:t>煤化工区地块污染现状调查和治理，</w:t>
      </w:r>
      <w:r>
        <w:rPr>
          <w:rFonts w:hint="eastAsia" w:ascii="Times New Roman" w:hAnsi="Times New Roman" w:eastAsia="仿宋_GB2312" w:cs="Times New Roman"/>
          <w:kern w:val="2"/>
          <w:sz w:val="32"/>
          <w:szCs w:val="32"/>
          <w:lang w:val="en-US" w:eastAsia="zh-CN" w:bidi="ar-SA"/>
        </w:rPr>
        <w:t>以危险废物为重点开展固体废物综合整治行动。加强生态环境风险防范，有效应对突发环境事件。实施环境污染强制责任保险制度，健全环境信息强制性披露制度。</w:t>
      </w:r>
      <w:r>
        <w:rPr>
          <w:rFonts w:hint="eastAsia" w:cs="Times New Roman"/>
          <w:color w:val="000000"/>
          <w:sz w:val="32"/>
          <w:szCs w:val="32"/>
          <w:lang w:val="en-US" w:eastAsia="zh-CN"/>
        </w:rPr>
        <w:t>推进锦界高新区环境污染第三方治理。</w:t>
      </w:r>
      <w:r>
        <w:rPr>
          <w:rFonts w:hint="eastAsia" w:ascii="Times New Roman" w:hAnsi="Times New Roman" w:eastAsia="仿宋_GB2312" w:cs="Times New Roman"/>
          <w:kern w:val="2"/>
          <w:sz w:val="32"/>
          <w:szCs w:val="32"/>
          <w:lang w:val="en-US" w:eastAsia="zh-CN" w:bidi="ar-SA"/>
        </w:rPr>
        <w:t>到2025年，绿色制造和高技术产业占比大幅提高，重化工业比重明显下降，工业绿色发展整体水平显著提升，绿色发展推进机制基本形成，</w:t>
      </w:r>
      <w:r>
        <w:rPr>
          <w:rFonts w:hint="eastAsia" w:cs="Times New Roman"/>
          <w:kern w:val="2"/>
          <w:sz w:val="32"/>
          <w:szCs w:val="32"/>
          <w:lang w:val="en-US" w:eastAsia="zh-CN" w:bidi="ar-SA"/>
        </w:rPr>
        <w:t>万元GDP</w:t>
      </w:r>
      <w:r>
        <w:rPr>
          <w:rFonts w:hint="eastAsia" w:ascii="Times New Roman" w:hAnsi="Times New Roman" w:eastAsia="仿宋_GB2312" w:cs="Times New Roman"/>
          <w:kern w:val="2"/>
          <w:sz w:val="32"/>
          <w:szCs w:val="32"/>
          <w:lang w:val="en-US" w:eastAsia="zh-CN" w:bidi="ar-SA"/>
        </w:rPr>
        <w:t>用水量比2020年下降</w:t>
      </w:r>
      <w:r>
        <w:rPr>
          <w:rFonts w:hint="eastAsia" w:cs="Times New Roman"/>
          <w:kern w:val="2"/>
          <w:sz w:val="32"/>
          <w:szCs w:val="32"/>
          <w:lang w:val="en-US" w:eastAsia="zh-CN" w:bidi="ar-SA"/>
        </w:rPr>
        <w:t>10.4</w:t>
      </w:r>
      <w:r>
        <w:rPr>
          <w:rFonts w:hint="eastAsia" w:ascii="Times New Roman" w:hAnsi="Times New Roman" w:eastAsia="仿宋_GB2312" w:cs="Times New Roman"/>
          <w:kern w:val="2"/>
          <w:sz w:val="32"/>
          <w:szCs w:val="32"/>
          <w:lang w:val="en-US" w:eastAsia="zh-CN" w:bidi="ar-SA"/>
        </w:rPr>
        <w:t>%。</w:t>
      </w:r>
    </w:p>
    <w:bookmarkEnd w:id="104"/>
    <w:p>
      <w:pPr>
        <w:pStyle w:val="2"/>
        <w:ind w:firstLine="640"/>
        <w:jc w:val="both"/>
        <w:rPr>
          <w:rFonts w:ascii="Times New Roman" w:hAnsi="Times New Roman" w:cs="Times New Roman"/>
          <w:kern w:val="2"/>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p>
    <w:p>
      <w:pPr>
        <w:pStyle w:val="3"/>
        <w:ind w:left="0" w:firstLine="0" w:firstLineChars="0"/>
        <w:jc w:val="center"/>
        <w:rPr>
          <w:rFonts w:hint="default" w:ascii="Times New Roman" w:hAnsi="Times New Roman" w:eastAsia="方正小标宋简体" w:cs="Times New Roman"/>
          <w:w w:val="82"/>
          <w:sz w:val="44"/>
          <w:szCs w:val="44"/>
          <w:lang w:val="en-US"/>
        </w:rPr>
      </w:pPr>
      <w:bookmarkStart w:id="105" w:name="_Toc6991"/>
      <w:r>
        <w:rPr>
          <w:rFonts w:ascii="Times New Roman" w:hAnsi="Times New Roman" w:eastAsia="方正小标宋简体" w:cs="Times New Roman"/>
          <w:w w:val="82"/>
          <w:sz w:val="44"/>
          <w:szCs w:val="44"/>
        </w:rPr>
        <w:t xml:space="preserve">第十二章 </w:t>
      </w:r>
      <w:r>
        <w:rPr>
          <w:rFonts w:hint="eastAsia" w:ascii="Times New Roman" w:hAnsi="Times New Roman" w:eastAsia="方正小标宋简体" w:cs="Times New Roman"/>
          <w:w w:val="82"/>
          <w:sz w:val="44"/>
          <w:szCs w:val="44"/>
          <w:lang w:val="en-US" w:eastAsia="zh-CN"/>
        </w:rPr>
        <w:t>持续改善民生</w:t>
      </w:r>
      <w:r>
        <w:rPr>
          <w:rFonts w:ascii="Times New Roman" w:hAnsi="Times New Roman" w:eastAsia="方正小标宋简体" w:cs="Times New Roman"/>
          <w:w w:val="82"/>
          <w:sz w:val="44"/>
          <w:szCs w:val="44"/>
        </w:rPr>
        <w:t>，</w:t>
      </w:r>
      <w:r>
        <w:rPr>
          <w:rFonts w:hint="eastAsia" w:ascii="Times New Roman" w:hAnsi="Times New Roman" w:eastAsia="方正小标宋简体" w:cs="Times New Roman"/>
          <w:w w:val="82"/>
          <w:sz w:val="44"/>
          <w:szCs w:val="44"/>
          <w:lang w:val="en-US" w:eastAsia="zh-CN"/>
        </w:rPr>
        <w:t>建设宜居精致幸福新家园</w:t>
      </w:r>
      <w:bookmarkEnd w:id="105"/>
    </w:p>
    <w:p>
      <w:pPr>
        <w:keepNext w:val="0"/>
        <w:keepLines w:val="0"/>
        <w:pageBreakBefore w:val="0"/>
        <w:widowControl w:val="0"/>
        <w:kinsoku/>
        <w:wordWrap/>
        <w:overflowPunct/>
        <w:topLinePunct w:val="0"/>
        <w:autoSpaceDE/>
        <w:autoSpaceDN/>
        <w:bidi w:val="0"/>
        <w:adjustRightInd w:val="0"/>
        <w:snapToGrid w:val="0"/>
        <w:spacing w:line="576" w:lineRule="exact"/>
        <w:ind w:firstLine="640"/>
        <w:jc w:val="both"/>
        <w:textAlignment w:val="auto"/>
        <w:rPr>
          <w:rFonts w:cs="Times New Roman"/>
          <w:kern w:val="2"/>
          <w:sz w:val="32"/>
          <w:szCs w:val="32"/>
        </w:rPr>
      </w:pPr>
      <w:r>
        <w:rPr>
          <w:rFonts w:hint="eastAsia" w:cs="Times New Roman"/>
          <w:kern w:val="2"/>
          <w:sz w:val="32"/>
          <w:szCs w:val="32"/>
        </w:rPr>
        <w:t>坚持</w:t>
      </w:r>
      <w:r>
        <w:rPr>
          <w:rFonts w:cs="Times New Roman"/>
          <w:kern w:val="2"/>
          <w:sz w:val="32"/>
          <w:szCs w:val="32"/>
        </w:rPr>
        <w:t>尽力而为，量力而行，推进基本公共服务优质化，推动共同富裕，提升全民获得感、幸福感、安全感，促进人的全面发展和社会全面进步。</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06" w:name="_Toc31014"/>
      <w:r>
        <w:rPr>
          <w:rFonts w:hint="eastAsia" w:ascii="楷体_GB2312" w:hAnsi="楷体_GB2312" w:eastAsia="楷体_GB2312" w:cs="楷体_GB2312"/>
          <w:bCs/>
          <w:sz w:val="32"/>
          <w:szCs w:val="32"/>
        </w:rPr>
        <w:t>第一节 提高就业与收入水平</w:t>
      </w:r>
      <w:bookmarkEnd w:id="106"/>
    </w:p>
    <w:p>
      <w:pPr>
        <w:keepNext w:val="0"/>
        <w:keepLines w:val="0"/>
        <w:pageBreakBefore w:val="0"/>
        <w:widowControl/>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b/>
          <w:bCs/>
          <w:sz w:val="32"/>
          <w:szCs w:val="32"/>
        </w:rPr>
        <w:t>就业创业更加充分。</w:t>
      </w:r>
      <w:r>
        <w:rPr>
          <w:rFonts w:cs="Times New Roman"/>
          <w:kern w:val="2"/>
          <w:sz w:val="32"/>
          <w:szCs w:val="32"/>
        </w:rPr>
        <w:t>坚持就业优先战略</w:t>
      </w:r>
      <w:r>
        <w:rPr>
          <w:rFonts w:hint="eastAsia" w:cs="Times New Roman"/>
          <w:kern w:val="2"/>
          <w:sz w:val="32"/>
          <w:szCs w:val="32"/>
        </w:rPr>
        <w:t>，落实高校毕业生、退役军人和困难人员等</w:t>
      </w:r>
      <w:r>
        <w:rPr>
          <w:rFonts w:cs="Times New Roman"/>
          <w:kern w:val="2"/>
          <w:sz w:val="32"/>
          <w:szCs w:val="32"/>
        </w:rPr>
        <w:t>就业政策，</w:t>
      </w:r>
      <w:r>
        <w:rPr>
          <w:rFonts w:hint="eastAsia" w:cs="Times New Roman"/>
          <w:kern w:val="2"/>
          <w:sz w:val="32"/>
          <w:szCs w:val="32"/>
        </w:rPr>
        <w:t>支持</w:t>
      </w:r>
      <w:r>
        <w:rPr>
          <w:rFonts w:cs="Times New Roman"/>
          <w:kern w:val="2"/>
          <w:sz w:val="32"/>
          <w:szCs w:val="32"/>
        </w:rPr>
        <w:t>高校毕业生</w:t>
      </w:r>
      <w:r>
        <w:rPr>
          <w:rFonts w:hint="eastAsia" w:cs="Times New Roman"/>
          <w:kern w:val="2"/>
          <w:sz w:val="32"/>
          <w:szCs w:val="32"/>
        </w:rPr>
        <w:t>到</w:t>
      </w:r>
      <w:r>
        <w:rPr>
          <w:rFonts w:cs="Times New Roman"/>
          <w:kern w:val="2"/>
          <w:sz w:val="32"/>
          <w:szCs w:val="32"/>
        </w:rPr>
        <w:t>民营企业</w:t>
      </w:r>
      <w:r>
        <w:rPr>
          <w:rFonts w:hint="eastAsia" w:cs="Times New Roman"/>
          <w:kern w:val="2"/>
          <w:sz w:val="32"/>
          <w:szCs w:val="32"/>
        </w:rPr>
        <w:t>、</w:t>
      </w:r>
      <w:r>
        <w:rPr>
          <w:rFonts w:cs="Times New Roman"/>
          <w:kern w:val="2"/>
          <w:sz w:val="32"/>
          <w:szCs w:val="32"/>
        </w:rPr>
        <w:t>基层就业</w:t>
      </w:r>
      <w:r>
        <w:rPr>
          <w:rFonts w:hint="eastAsia" w:cs="Times New Roman"/>
          <w:kern w:val="2"/>
          <w:sz w:val="32"/>
          <w:szCs w:val="32"/>
        </w:rPr>
        <w:t>，</w:t>
      </w:r>
      <w:r>
        <w:rPr>
          <w:rFonts w:cs="Times New Roman"/>
          <w:color w:val="000000"/>
          <w:sz w:val="32"/>
          <w:szCs w:val="32"/>
          <w:lang w:bidi="ar"/>
        </w:rPr>
        <w:t>制定退役军人优先岗位目录，健全困难人员就业援助机制，</w:t>
      </w:r>
      <w:r>
        <w:rPr>
          <w:rFonts w:cs="Times New Roman"/>
          <w:kern w:val="2"/>
          <w:sz w:val="32"/>
          <w:szCs w:val="32"/>
        </w:rPr>
        <w:t>鼓励驻神中省企业优先录用</w:t>
      </w:r>
      <w:r>
        <w:rPr>
          <w:rFonts w:hint="eastAsia" w:cs="Times New Roman"/>
          <w:kern w:val="2"/>
          <w:sz w:val="32"/>
          <w:szCs w:val="32"/>
        </w:rPr>
        <w:t>神木籍</w:t>
      </w:r>
      <w:r>
        <w:rPr>
          <w:rFonts w:cs="Times New Roman"/>
          <w:kern w:val="2"/>
          <w:sz w:val="32"/>
          <w:szCs w:val="32"/>
        </w:rPr>
        <w:t>劳动力，有效</w:t>
      </w:r>
      <w:r>
        <w:rPr>
          <w:rFonts w:hint="eastAsia" w:cs="Times New Roman"/>
          <w:kern w:val="2"/>
          <w:sz w:val="32"/>
          <w:szCs w:val="32"/>
        </w:rPr>
        <w:t>缓解</w:t>
      </w:r>
      <w:r>
        <w:rPr>
          <w:rFonts w:cs="Times New Roman"/>
          <w:kern w:val="2"/>
          <w:sz w:val="32"/>
          <w:szCs w:val="32"/>
        </w:rPr>
        <w:t>就业难问题</w:t>
      </w:r>
      <w:r>
        <w:rPr>
          <w:rFonts w:hint="eastAsia" w:cs="Times New Roman"/>
          <w:kern w:val="2"/>
          <w:sz w:val="32"/>
          <w:szCs w:val="32"/>
        </w:rPr>
        <w:t>。</w:t>
      </w:r>
      <w:r>
        <w:rPr>
          <w:rFonts w:cs="Times New Roman"/>
          <w:kern w:val="2"/>
          <w:sz w:val="32"/>
          <w:szCs w:val="32"/>
        </w:rPr>
        <w:t>以创业促就业</w:t>
      </w:r>
      <w:r>
        <w:rPr>
          <w:rFonts w:hint="eastAsia" w:cs="Times New Roman"/>
          <w:kern w:val="2"/>
          <w:sz w:val="32"/>
          <w:szCs w:val="32"/>
        </w:rPr>
        <w:t>，</w:t>
      </w:r>
      <w:r>
        <w:rPr>
          <w:rFonts w:cs="Times New Roman"/>
          <w:kern w:val="2"/>
          <w:sz w:val="32"/>
          <w:szCs w:val="32"/>
        </w:rPr>
        <w:t>完善就业服务体系，加强就业公共服务平台建设</w:t>
      </w:r>
      <w:r>
        <w:rPr>
          <w:rFonts w:hint="eastAsia" w:cs="Times New Roman"/>
          <w:kern w:val="2"/>
          <w:sz w:val="32"/>
          <w:szCs w:val="32"/>
        </w:rPr>
        <w:t>，</w:t>
      </w:r>
      <w:r>
        <w:rPr>
          <w:rFonts w:cs="Times New Roman"/>
          <w:kern w:val="2"/>
          <w:sz w:val="32"/>
          <w:szCs w:val="32"/>
        </w:rPr>
        <w:t>充分利用创新谷、创业黑马神木分院等</w:t>
      </w:r>
      <w:r>
        <w:rPr>
          <w:rFonts w:hint="eastAsia" w:cs="Times New Roman"/>
          <w:kern w:val="2"/>
          <w:sz w:val="32"/>
          <w:szCs w:val="32"/>
        </w:rPr>
        <w:t>创新创业</w:t>
      </w:r>
      <w:r>
        <w:rPr>
          <w:rFonts w:cs="Times New Roman"/>
          <w:kern w:val="2"/>
          <w:sz w:val="32"/>
          <w:szCs w:val="32"/>
        </w:rPr>
        <w:t>孵化器</w:t>
      </w:r>
      <w:r>
        <w:rPr>
          <w:rFonts w:hint="eastAsia" w:cs="Times New Roman"/>
          <w:kern w:val="2"/>
          <w:sz w:val="32"/>
          <w:szCs w:val="32"/>
        </w:rPr>
        <w:t>，</w:t>
      </w:r>
      <w:r>
        <w:rPr>
          <w:rFonts w:cs="Times New Roman"/>
          <w:kern w:val="2"/>
          <w:sz w:val="32"/>
          <w:szCs w:val="32"/>
        </w:rPr>
        <w:t>吸引各类群体来神</w:t>
      </w:r>
      <w:r>
        <w:rPr>
          <w:rFonts w:hint="eastAsia" w:cs="Times New Roman"/>
          <w:kern w:val="2"/>
          <w:sz w:val="32"/>
          <w:szCs w:val="32"/>
        </w:rPr>
        <w:t>就业</w:t>
      </w:r>
      <w:r>
        <w:rPr>
          <w:rFonts w:cs="Times New Roman"/>
          <w:kern w:val="2"/>
          <w:sz w:val="32"/>
          <w:szCs w:val="32"/>
        </w:rPr>
        <w:t>创业</w:t>
      </w:r>
      <w:r>
        <w:rPr>
          <w:rFonts w:hint="eastAsia" w:cs="Times New Roman"/>
          <w:kern w:val="2"/>
          <w:sz w:val="32"/>
          <w:szCs w:val="32"/>
        </w:rPr>
        <w:t>。</w:t>
      </w:r>
      <w:r>
        <w:rPr>
          <w:rFonts w:cs="Times New Roman"/>
          <w:kern w:val="2"/>
          <w:sz w:val="32"/>
          <w:szCs w:val="32"/>
        </w:rPr>
        <w:t>到2025年，累计实现新增城镇就业</w:t>
      </w:r>
      <w:r>
        <w:rPr>
          <w:rFonts w:hint="eastAsia" w:cs="Times New Roman"/>
          <w:kern w:val="2"/>
          <w:sz w:val="32"/>
          <w:szCs w:val="32"/>
        </w:rPr>
        <w:t>2</w:t>
      </w:r>
      <w:r>
        <w:rPr>
          <w:rFonts w:cs="Times New Roman"/>
          <w:kern w:val="2"/>
          <w:sz w:val="32"/>
          <w:szCs w:val="32"/>
        </w:rPr>
        <w:t>万人，城镇登记失业率控制在3.</w:t>
      </w:r>
      <w:r>
        <w:rPr>
          <w:rFonts w:hint="eastAsia" w:cs="Times New Roman"/>
          <w:kern w:val="2"/>
          <w:sz w:val="32"/>
          <w:szCs w:val="32"/>
        </w:rPr>
        <w:t>5</w:t>
      </w:r>
      <w:r>
        <w:rPr>
          <w:rFonts w:cs="Times New Roman"/>
          <w:kern w:val="2"/>
          <w:sz w:val="32"/>
          <w:szCs w:val="32"/>
        </w:rPr>
        <w:t>%以内。</w:t>
      </w:r>
    </w:p>
    <w:p>
      <w:pPr>
        <w:keepNext w:val="0"/>
        <w:keepLines w:val="0"/>
        <w:pageBreakBefore w:val="0"/>
        <w:widowControl/>
        <w:kinsoku/>
        <w:wordWrap/>
        <w:overflowPunct/>
        <w:topLinePunct w:val="0"/>
        <w:autoSpaceDE/>
        <w:autoSpaceDN/>
        <w:bidi w:val="0"/>
        <w:adjustRightInd w:val="0"/>
        <w:snapToGrid w:val="0"/>
        <w:spacing w:line="576" w:lineRule="exact"/>
        <w:ind w:firstLine="640"/>
        <w:textAlignment w:val="auto"/>
        <w:rPr>
          <w:rFonts w:cs="Times New Roman"/>
        </w:rPr>
      </w:pPr>
      <w:r>
        <w:rPr>
          <w:rFonts w:cs="Times New Roman"/>
          <w:b/>
          <w:bCs/>
          <w:sz w:val="32"/>
          <w:szCs w:val="32"/>
        </w:rPr>
        <w:t>居民收入再上台阶。</w:t>
      </w:r>
      <w:r>
        <w:rPr>
          <w:rFonts w:cs="Times New Roman"/>
          <w:kern w:val="2"/>
          <w:sz w:val="32"/>
          <w:szCs w:val="32"/>
        </w:rPr>
        <w:t>实施城乡居民收入提升计划，突出农民、企业职工、中低收入者和困难家庭四个群体，拓宽就业、创业、投资、社保和帮扶五大增收渠道，建立居民收入与经济发展同步增长、最低工资与物价上涨同步联动、劳动报酬与劳动生产率同步提高的长效机制。强化以增加知识价值为导向的收入分配政策，不断扩大中等收入群体比重。多渠道增加城乡居民财产性</w:t>
      </w:r>
      <w:r>
        <w:rPr>
          <w:rFonts w:hint="eastAsia" w:cs="Times New Roman"/>
          <w:kern w:val="2"/>
          <w:sz w:val="32"/>
          <w:szCs w:val="32"/>
        </w:rPr>
        <w:t>、政策性</w:t>
      </w:r>
      <w:r>
        <w:rPr>
          <w:rFonts w:cs="Times New Roman"/>
          <w:kern w:val="2"/>
          <w:sz w:val="32"/>
          <w:szCs w:val="32"/>
        </w:rPr>
        <w:t>收入，探索土地、资本等要素使用权、收益权，推动城乡</w:t>
      </w:r>
      <w:r>
        <w:rPr>
          <w:rFonts w:hint="eastAsia" w:cs="Times New Roman"/>
          <w:kern w:val="2"/>
          <w:sz w:val="32"/>
          <w:szCs w:val="32"/>
        </w:rPr>
        <w:t>居民</w:t>
      </w:r>
      <w:r>
        <w:rPr>
          <w:rFonts w:cs="Times New Roman"/>
          <w:kern w:val="2"/>
          <w:sz w:val="32"/>
          <w:szCs w:val="32"/>
        </w:rPr>
        <w:t>收入差距</w:t>
      </w:r>
      <w:r>
        <w:rPr>
          <w:rFonts w:hint="eastAsia" w:cs="Times New Roman"/>
          <w:kern w:val="2"/>
          <w:sz w:val="32"/>
          <w:szCs w:val="32"/>
        </w:rPr>
        <w:t>不断</w:t>
      </w:r>
      <w:r>
        <w:rPr>
          <w:rFonts w:cs="Times New Roman"/>
          <w:kern w:val="2"/>
          <w:sz w:val="32"/>
          <w:szCs w:val="32"/>
        </w:rPr>
        <w:t>缩小。</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07" w:name="_Toc23388"/>
      <w:r>
        <w:rPr>
          <w:rFonts w:hint="eastAsia" w:ascii="楷体_GB2312" w:hAnsi="楷体_GB2312" w:eastAsia="楷体_GB2312" w:cs="楷体_GB2312"/>
          <w:bCs/>
          <w:sz w:val="32"/>
          <w:szCs w:val="32"/>
        </w:rPr>
        <w:t>第二节 建设高质量教育体系</w:t>
      </w:r>
      <w:bookmarkEnd w:id="107"/>
    </w:p>
    <w:p>
      <w:pPr>
        <w:keepNext w:val="0"/>
        <w:keepLines w:val="0"/>
        <w:pageBreakBefore w:val="0"/>
        <w:widowControl/>
        <w:kinsoku/>
        <w:wordWrap/>
        <w:overflowPunct/>
        <w:topLinePunct w:val="0"/>
        <w:autoSpaceDE/>
        <w:autoSpaceDN/>
        <w:bidi w:val="0"/>
        <w:adjustRightInd w:val="0"/>
        <w:snapToGrid w:val="0"/>
        <w:spacing w:line="576" w:lineRule="exact"/>
        <w:ind w:firstLine="640"/>
        <w:jc w:val="both"/>
        <w:textAlignment w:val="auto"/>
        <w:rPr>
          <w:rFonts w:cs="Times New Roman"/>
          <w:b/>
          <w:bCs/>
          <w:sz w:val="32"/>
          <w:szCs w:val="32"/>
        </w:rPr>
      </w:pPr>
      <w:r>
        <w:rPr>
          <w:rFonts w:cs="Times New Roman"/>
          <w:b/>
          <w:bCs/>
          <w:sz w:val="32"/>
          <w:szCs w:val="32"/>
        </w:rPr>
        <w:t>提升基础教育质量。</w:t>
      </w:r>
      <w:r>
        <w:rPr>
          <w:rFonts w:cs="Times New Roman"/>
          <w:kern w:val="2"/>
          <w:sz w:val="32"/>
          <w:szCs w:val="32"/>
        </w:rPr>
        <w:t>实施第四期学前教育行动计划，大力发展公办幼儿园</w:t>
      </w:r>
      <w:r>
        <w:rPr>
          <w:rFonts w:hint="eastAsia" w:cs="Times New Roman"/>
          <w:kern w:val="2"/>
          <w:sz w:val="32"/>
          <w:szCs w:val="32"/>
        </w:rPr>
        <w:t>，</w:t>
      </w:r>
      <w:r>
        <w:rPr>
          <w:rFonts w:cs="Times New Roman"/>
          <w:kern w:val="2"/>
          <w:sz w:val="32"/>
          <w:szCs w:val="32"/>
        </w:rPr>
        <w:t>鼓励支持民办</w:t>
      </w:r>
      <w:r>
        <w:rPr>
          <w:rFonts w:hint="eastAsia" w:cs="Times New Roman"/>
          <w:kern w:val="2"/>
          <w:sz w:val="32"/>
          <w:szCs w:val="32"/>
        </w:rPr>
        <w:t>幼儿</w:t>
      </w:r>
      <w:r>
        <w:rPr>
          <w:rFonts w:cs="Times New Roman"/>
          <w:kern w:val="2"/>
          <w:sz w:val="32"/>
          <w:szCs w:val="32"/>
        </w:rPr>
        <w:t>园发展</w:t>
      </w:r>
      <w:r>
        <w:rPr>
          <w:rFonts w:hint="eastAsia" w:cs="Times New Roman"/>
          <w:kern w:val="2"/>
          <w:sz w:val="32"/>
          <w:szCs w:val="32"/>
        </w:rPr>
        <w:t>，</w:t>
      </w:r>
      <w:r>
        <w:rPr>
          <w:rFonts w:cs="Times New Roman"/>
          <w:kern w:val="2"/>
          <w:sz w:val="32"/>
          <w:szCs w:val="32"/>
        </w:rPr>
        <w:t>实现学前教育普及普惠，城乡学前三年幼儿入园率达到100%。义务教育均衡发展，新增义务教育学校</w:t>
      </w:r>
      <w:r>
        <w:rPr>
          <w:rFonts w:hint="eastAsia" w:cs="Times New Roman"/>
          <w:kern w:val="2"/>
          <w:sz w:val="32"/>
          <w:szCs w:val="32"/>
          <w:lang w:val="en-US" w:eastAsia="zh-CN"/>
        </w:rPr>
        <w:t>12</w:t>
      </w:r>
      <w:r>
        <w:rPr>
          <w:rFonts w:hint="eastAsia" w:cs="Times New Roman"/>
          <w:kern w:val="2"/>
          <w:sz w:val="32"/>
          <w:szCs w:val="32"/>
        </w:rPr>
        <w:t>所、</w:t>
      </w:r>
      <w:r>
        <w:rPr>
          <w:rFonts w:cs="Times New Roman"/>
          <w:kern w:val="2"/>
          <w:sz w:val="32"/>
          <w:szCs w:val="32"/>
        </w:rPr>
        <w:t>学位</w:t>
      </w:r>
      <w:r>
        <w:rPr>
          <w:rFonts w:hint="eastAsia" w:cs="Times New Roman"/>
          <w:kern w:val="2"/>
          <w:sz w:val="32"/>
          <w:szCs w:val="32"/>
          <w:lang w:val="en-US" w:eastAsia="zh-CN"/>
        </w:rPr>
        <w:t>1.7万</w:t>
      </w:r>
      <w:r>
        <w:rPr>
          <w:rFonts w:cs="Times New Roman"/>
          <w:kern w:val="2"/>
          <w:sz w:val="32"/>
          <w:szCs w:val="32"/>
        </w:rPr>
        <w:t>个，消除义务教育阶段“大班额”现象。</w:t>
      </w:r>
      <w:r>
        <w:rPr>
          <w:rFonts w:hint="eastAsia" w:cs="Times New Roman"/>
          <w:kern w:val="2"/>
          <w:sz w:val="32"/>
          <w:szCs w:val="32"/>
        </w:rPr>
        <w:t>推动</w:t>
      </w:r>
      <w:r>
        <w:rPr>
          <w:rFonts w:cs="Times New Roman"/>
          <w:kern w:val="2"/>
          <w:sz w:val="32"/>
          <w:szCs w:val="32"/>
        </w:rPr>
        <w:t>高中教育优质发展，实施普通高中教育质量提升工程，探索普高与职高适度融合发展</w:t>
      </w:r>
      <w:r>
        <w:rPr>
          <w:rFonts w:hint="eastAsia" w:cs="Times New Roman"/>
          <w:kern w:val="2"/>
          <w:sz w:val="32"/>
          <w:szCs w:val="32"/>
        </w:rPr>
        <w:t>机制。</w:t>
      </w:r>
      <w:r>
        <w:rPr>
          <w:rFonts w:cs="Times New Roman"/>
          <w:kern w:val="2"/>
          <w:sz w:val="32"/>
          <w:szCs w:val="32"/>
        </w:rPr>
        <w:t>推动神木中学争创陕西省县域名校，提高北师大、北大培文、西交康桥合作</w:t>
      </w:r>
      <w:r>
        <w:rPr>
          <w:rFonts w:hint="eastAsia" w:cs="Times New Roman"/>
          <w:kern w:val="2"/>
          <w:sz w:val="32"/>
          <w:szCs w:val="32"/>
        </w:rPr>
        <w:t>办学</w:t>
      </w:r>
      <w:r>
        <w:rPr>
          <w:rFonts w:cs="Times New Roman"/>
          <w:kern w:val="2"/>
          <w:sz w:val="32"/>
          <w:szCs w:val="32"/>
        </w:rPr>
        <w:t>质量。</w:t>
      </w:r>
      <w:r>
        <w:rPr>
          <w:rFonts w:hint="eastAsia" w:cs="Times New Roman"/>
          <w:kern w:val="2"/>
          <w:sz w:val="32"/>
          <w:szCs w:val="32"/>
        </w:rPr>
        <w:t>鼓励</w:t>
      </w:r>
      <w:r>
        <w:rPr>
          <w:rFonts w:cs="Times New Roman"/>
          <w:kern w:val="2"/>
          <w:sz w:val="32"/>
          <w:szCs w:val="32"/>
        </w:rPr>
        <w:t>特殊教育多元发展，提高特殊教育保障能力。</w:t>
      </w:r>
      <w:r>
        <w:rPr>
          <w:rFonts w:hint="eastAsia" w:cs="Times New Roman"/>
          <w:kern w:val="2"/>
          <w:sz w:val="32"/>
          <w:szCs w:val="32"/>
          <w:lang w:eastAsia="zh-CN"/>
        </w:rPr>
        <w:t>改革校长选聘制度，</w:t>
      </w:r>
      <w:r>
        <w:rPr>
          <w:rFonts w:hint="eastAsia" w:cs="Times New Roman"/>
          <w:kern w:val="2"/>
          <w:sz w:val="32"/>
          <w:szCs w:val="32"/>
        </w:rPr>
        <w:t>完善</w:t>
      </w:r>
      <w:r>
        <w:rPr>
          <w:rFonts w:cs="Times New Roman"/>
          <w:kern w:val="2"/>
          <w:sz w:val="32"/>
          <w:szCs w:val="32"/>
        </w:rPr>
        <w:t>校长、教师常态化轮岗制度</w:t>
      </w:r>
      <w:r>
        <w:rPr>
          <w:rFonts w:hint="eastAsia" w:cs="Times New Roman"/>
          <w:kern w:val="2"/>
          <w:sz w:val="32"/>
          <w:szCs w:val="32"/>
        </w:rPr>
        <w:t>。</w:t>
      </w:r>
    </w:p>
    <w:p>
      <w:pPr>
        <w:keepNext w:val="0"/>
        <w:keepLines w:val="0"/>
        <w:pageBreakBefore w:val="0"/>
        <w:widowControl/>
        <w:kinsoku/>
        <w:wordWrap/>
        <w:overflowPunct/>
        <w:topLinePunct w:val="0"/>
        <w:autoSpaceDE/>
        <w:autoSpaceDN/>
        <w:bidi w:val="0"/>
        <w:adjustRightInd w:val="0"/>
        <w:snapToGrid w:val="0"/>
        <w:spacing w:line="576" w:lineRule="exact"/>
        <w:ind w:firstLine="640"/>
        <w:jc w:val="both"/>
        <w:textAlignment w:val="auto"/>
        <w:rPr>
          <w:rFonts w:cs="Times New Roman"/>
          <w:kern w:val="2"/>
          <w:sz w:val="32"/>
          <w:szCs w:val="32"/>
        </w:rPr>
      </w:pPr>
      <w:r>
        <w:rPr>
          <w:rFonts w:cs="Times New Roman"/>
          <w:b/>
          <w:bCs/>
          <w:sz w:val="32"/>
          <w:szCs w:val="32"/>
        </w:rPr>
        <w:t>发展特色职业教育。</w:t>
      </w:r>
      <w:r>
        <w:rPr>
          <w:rFonts w:cs="Times New Roman"/>
          <w:kern w:val="2"/>
          <w:sz w:val="32"/>
          <w:szCs w:val="32"/>
        </w:rPr>
        <w:t>构建以中职为基础</w:t>
      </w:r>
      <w:r>
        <w:rPr>
          <w:rFonts w:hint="eastAsia" w:cs="Times New Roman"/>
          <w:kern w:val="2"/>
          <w:sz w:val="32"/>
          <w:szCs w:val="32"/>
        </w:rPr>
        <w:t>，</w:t>
      </w:r>
      <w:r>
        <w:rPr>
          <w:rFonts w:cs="Times New Roman"/>
          <w:kern w:val="2"/>
          <w:sz w:val="32"/>
          <w:szCs w:val="32"/>
        </w:rPr>
        <w:t>高职教育为龙头</w:t>
      </w:r>
      <w:r>
        <w:rPr>
          <w:rFonts w:hint="eastAsia" w:cs="Times New Roman"/>
          <w:kern w:val="2"/>
          <w:sz w:val="32"/>
          <w:szCs w:val="32"/>
        </w:rPr>
        <w:t>，</w:t>
      </w:r>
      <w:r>
        <w:rPr>
          <w:rFonts w:cs="Times New Roman"/>
          <w:kern w:val="2"/>
          <w:sz w:val="32"/>
          <w:szCs w:val="32"/>
        </w:rPr>
        <w:t>中高职相互融通、产教融合的现代职业教育体系。围绕服务能源化工</w:t>
      </w:r>
      <w:r>
        <w:rPr>
          <w:rFonts w:hint="eastAsia" w:cs="Times New Roman"/>
          <w:kern w:val="2"/>
          <w:sz w:val="32"/>
          <w:szCs w:val="32"/>
        </w:rPr>
        <w:t>、现代农业</w:t>
      </w:r>
      <w:r>
        <w:rPr>
          <w:rFonts w:hint="eastAsia" w:cs="Times New Roman"/>
          <w:kern w:val="2"/>
          <w:sz w:val="32"/>
          <w:szCs w:val="32"/>
          <w:lang w:eastAsia="zh-CN"/>
        </w:rPr>
        <w:t>特色产业</w:t>
      </w:r>
      <w:r>
        <w:rPr>
          <w:rFonts w:hint="eastAsia" w:cs="Times New Roman"/>
          <w:kern w:val="2"/>
          <w:sz w:val="32"/>
          <w:szCs w:val="32"/>
        </w:rPr>
        <w:t>等</w:t>
      </w:r>
      <w:r>
        <w:rPr>
          <w:rFonts w:cs="Times New Roman"/>
          <w:kern w:val="2"/>
          <w:sz w:val="32"/>
          <w:szCs w:val="32"/>
        </w:rPr>
        <w:t>设置重点骨干专业</w:t>
      </w:r>
      <w:r>
        <w:rPr>
          <w:rFonts w:hint="eastAsia" w:cs="Times New Roman"/>
          <w:kern w:val="2"/>
          <w:sz w:val="32"/>
          <w:szCs w:val="32"/>
        </w:rPr>
        <w:t>，开展实用技能培训，加快培养知识型、技术型、创新型劳动者大军，</w:t>
      </w:r>
      <w:r>
        <w:rPr>
          <w:rFonts w:cs="Times New Roman"/>
          <w:kern w:val="2"/>
          <w:sz w:val="32"/>
          <w:szCs w:val="32"/>
        </w:rPr>
        <w:t>打造能化特色鲜明的职业院校。完善校企合作机制</w:t>
      </w:r>
      <w:r>
        <w:rPr>
          <w:rFonts w:hint="eastAsia" w:cs="Times New Roman"/>
          <w:kern w:val="2"/>
          <w:sz w:val="32"/>
          <w:szCs w:val="32"/>
        </w:rPr>
        <w:t>，</w:t>
      </w:r>
      <w:r>
        <w:rPr>
          <w:rFonts w:cs="Times New Roman"/>
          <w:kern w:val="2"/>
          <w:sz w:val="32"/>
          <w:szCs w:val="32"/>
        </w:rPr>
        <w:t>深化职院与企业联合办学，实行订单培养、委托培养专业人才模式。到2025年</w:t>
      </w:r>
      <w:r>
        <w:rPr>
          <w:rFonts w:hint="eastAsia" w:cs="Times New Roman"/>
          <w:kern w:val="2"/>
          <w:sz w:val="32"/>
          <w:szCs w:val="32"/>
        </w:rPr>
        <w:t>，</w:t>
      </w:r>
      <w:r>
        <w:rPr>
          <w:rFonts w:cs="Times New Roman"/>
          <w:kern w:val="2"/>
          <w:sz w:val="32"/>
          <w:szCs w:val="32"/>
        </w:rPr>
        <w:t>中等职业教育</w:t>
      </w:r>
      <w:r>
        <w:rPr>
          <w:rFonts w:hint="eastAsia" w:cs="Times New Roman"/>
          <w:kern w:val="2"/>
          <w:sz w:val="32"/>
          <w:szCs w:val="32"/>
        </w:rPr>
        <w:t>、</w:t>
      </w:r>
      <w:r>
        <w:rPr>
          <w:rFonts w:cs="Times New Roman"/>
          <w:kern w:val="2"/>
          <w:sz w:val="32"/>
          <w:szCs w:val="32"/>
        </w:rPr>
        <w:t>专科层次教育在校生</w:t>
      </w:r>
      <w:r>
        <w:rPr>
          <w:rFonts w:hint="eastAsia" w:cs="Times New Roman"/>
          <w:kern w:val="2"/>
          <w:sz w:val="32"/>
          <w:szCs w:val="32"/>
        </w:rPr>
        <w:t>分别</w:t>
      </w:r>
      <w:r>
        <w:rPr>
          <w:rFonts w:cs="Times New Roman"/>
          <w:kern w:val="2"/>
          <w:sz w:val="32"/>
          <w:szCs w:val="32"/>
        </w:rPr>
        <w:t>达到</w:t>
      </w:r>
      <w:r>
        <w:rPr>
          <w:rFonts w:hint="eastAsia" w:cs="Times New Roman"/>
          <w:kern w:val="2"/>
          <w:sz w:val="32"/>
          <w:szCs w:val="32"/>
          <w:lang w:val="en-US" w:eastAsia="zh-CN"/>
        </w:rPr>
        <w:t>1.2</w:t>
      </w:r>
      <w:r>
        <w:rPr>
          <w:rFonts w:cs="Times New Roman"/>
          <w:kern w:val="2"/>
          <w:sz w:val="32"/>
          <w:szCs w:val="32"/>
        </w:rPr>
        <w:t>万人</w:t>
      </w:r>
      <w:r>
        <w:rPr>
          <w:rFonts w:hint="eastAsia" w:cs="Times New Roman"/>
          <w:kern w:val="2"/>
          <w:sz w:val="32"/>
          <w:szCs w:val="32"/>
        </w:rPr>
        <w:t>、</w:t>
      </w:r>
      <w:r>
        <w:rPr>
          <w:rFonts w:hint="eastAsia" w:cs="Times New Roman"/>
          <w:kern w:val="2"/>
          <w:sz w:val="32"/>
          <w:szCs w:val="32"/>
          <w:lang w:val="en-US" w:eastAsia="zh-CN"/>
        </w:rPr>
        <w:t>0.5</w:t>
      </w:r>
      <w:r>
        <w:rPr>
          <w:rFonts w:cs="Times New Roman"/>
          <w:kern w:val="2"/>
          <w:sz w:val="32"/>
          <w:szCs w:val="32"/>
        </w:rPr>
        <w:t>万人。</w:t>
      </w:r>
    </w:p>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643" w:firstLineChars="200"/>
        <w:jc w:val="left"/>
        <w:textAlignment w:val="auto"/>
        <w:rPr>
          <w:rFonts w:cs="Times New Roman"/>
          <w:kern w:val="2"/>
          <w:sz w:val="32"/>
          <w:szCs w:val="32"/>
        </w:rPr>
      </w:pPr>
      <w:r>
        <w:rPr>
          <w:rFonts w:cs="Times New Roman"/>
          <w:b/>
          <w:bCs/>
          <w:sz w:val="32"/>
          <w:szCs w:val="32"/>
        </w:rPr>
        <w:t>推进教育现代化。</w:t>
      </w:r>
      <w:r>
        <w:rPr>
          <w:rFonts w:hint="eastAsia" w:cs="Times New Roman"/>
          <w:kern w:val="2"/>
          <w:sz w:val="32"/>
          <w:szCs w:val="32"/>
          <w:lang w:eastAsia="zh-CN"/>
        </w:rPr>
        <w:t>把立德树人作为教育的根本任务，加强师资队伍建设，</w:t>
      </w:r>
      <w:r>
        <w:rPr>
          <w:rFonts w:cs="Times New Roman"/>
          <w:kern w:val="2"/>
          <w:sz w:val="32"/>
          <w:szCs w:val="32"/>
        </w:rPr>
        <w:t>提升教师教书育人能力素质</w:t>
      </w:r>
      <w:r>
        <w:rPr>
          <w:rFonts w:hint="eastAsia" w:cs="Times New Roman"/>
          <w:kern w:val="2"/>
          <w:sz w:val="32"/>
          <w:szCs w:val="32"/>
          <w:lang w:eastAsia="zh-CN"/>
        </w:rPr>
        <w:t>。</w:t>
      </w:r>
      <w:r>
        <w:rPr>
          <w:rFonts w:cs="Times New Roman"/>
          <w:kern w:val="2"/>
          <w:sz w:val="32"/>
          <w:szCs w:val="32"/>
        </w:rPr>
        <w:t>健全学校家庭社会协同育人机制，</w:t>
      </w:r>
      <w:r>
        <w:rPr>
          <w:rFonts w:hint="eastAsia" w:cs="Times New Roman"/>
          <w:kern w:val="2"/>
          <w:sz w:val="32"/>
          <w:szCs w:val="32"/>
          <w:lang w:eastAsia="zh-CN"/>
        </w:rPr>
        <w:t>加强学生思政教育，提升</w:t>
      </w:r>
      <w:r>
        <w:rPr>
          <w:rFonts w:cs="Times New Roman"/>
          <w:kern w:val="2"/>
          <w:sz w:val="32"/>
          <w:szCs w:val="32"/>
        </w:rPr>
        <w:t>学生文明素养、社会责任意识</w:t>
      </w:r>
      <w:r>
        <w:rPr>
          <w:rFonts w:hint="eastAsia" w:cs="Times New Roman"/>
          <w:kern w:val="2"/>
          <w:sz w:val="32"/>
          <w:szCs w:val="32"/>
          <w:lang w:eastAsia="zh-CN"/>
        </w:rPr>
        <w:t>和</w:t>
      </w:r>
      <w:r>
        <w:rPr>
          <w:rFonts w:cs="Times New Roman"/>
          <w:kern w:val="2"/>
          <w:sz w:val="32"/>
          <w:szCs w:val="32"/>
        </w:rPr>
        <w:t>实践本领。深入推进“互联网+教育”模式，加快智慧校园建设，创新教育教学模式，推动教育资源共享。完善继续教育网络，积极构建网络化、数字化、个性化、终身化的高质量教育体系。</w:t>
      </w:r>
    </w:p>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643"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b/>
          <w:bCs/>
          <w:sz w:val="32"/>
          <w:szCs w:val="32"/>
        </w:rPr>
        <w:t>发展</w:t>
      </w:r>
      <w:r>
        <w:rPr>
          <w:rFonts w:cs="Times New Roman"/>
          <w:b/>
          <w:bCs/>
          <w:sz w:val="32"/>
          <w:szCs w:val="32"/>
        </w:rPr>
        <w:t>体育事业。</w:t>
      </w:r>
      <w:r>
        <w:rPr>
          <w:rFonts w:cs="Times New Roman"/>
          <w:kern w:val="2"/>
          <w:sz w:val="32"/>
          <w:szCs w:val="32"/>
        </w:rPr>
        <w:t>完善体育场馆及配套设施</w:t>
      </w:r>
      <w:r>
        <w:rPr>
          <w:rFonts w:hint="eastAsia" w:cs="Times New Roman"/>
          <w:kern w:val="2"/>
          <w:sz w:val="32"/>
          <w:szCs w:val="32"/>
        </w:rPr>
        <w:t>，鼓励</w:t>
      </w:r>
      <w:r>
        <w:rPr>
          <w:rFonts w:cs="Times New Roman"/>
          <w:kern w:val="2"/>
          <w:sz w:val="32"/>
          <w:szCs w:val="32"/>
        </w:rPr>
        <w:t>承办</w:t>
      </w:r>
      <w:r>
        <w:rPr>
          <w:rFonts w:hint="eastAsia" w:cs="Times New Roman"/>
          <w:kern w:val="2"/>
          <w:sz w:val="32"/>
          <w:szCs w:val="32"/>
        </w:rPr>
        <w:t>中</w:t>
      </w:r>
      <w:r>
        <w:rPr>
          <w:rFonts w:cs="Times New Roman"/>
          <w:kern w:val="2"/>
          <w:sz w:val="32"/>
          <w:szCs w:val="32"/>
        </w:rPr>
        <w:t>省市重大赛</w:t>
      </w:r>
      <w:r>
        <w:rPr>
          <w:rFonts w:hint="eastAsia" w:cs="Times New Roman"/>
          <w:kern w:val="2"/>
          <w:sz w:val="32"/>
          <w:szCs w:val="32"/>
          <w:lang w:val="en-US" w:eastAsia="zh-CN"/>
        </w:rPr>
        <w:t>事，到2025年全市人均体育场地面积达到2.3平方米以上。强化青少年体育锻炼，广泛开展各类学生运动会，增强学生体质、锤炼学生意志。</w:t>
      </w:r>
      <w:r>
        <w:rPr>
          <w:rFonts w:cs="Times New Roman"/>
          <w:kern w:val="2"/>
          <w:sz w:val="32"/>
          <w:szCs w:val="32"/>
        </w:rPr>
        <w:t>推进全民健身</w:t>
      </w:r>
      <w:r>
        <w:rPr>
          <w:rFonts w:hint="eastAsia" w:cs="Times New Roman"/>
          <w:kern w:val="2"/>
          <w:sz w:val="32"/>
          <w:szCs w:val="32"/>
        </w:rPr>
        <w:t>，</w:t>
      </w:r>
      <w:r>
        <w:rPr>
          <w:rFonts w:cs="Times New Roman"/>
          <w:kern w:val="2"/>
          <w:sz w:val="32"/>
          <w:szCs w:val="32"/>
        </w:rPr>
        <w:t>建设城市运动公园，加大农村体育基础设施建设，实现村级体育健身工程全覆盖。强化群</w:t>
      </w:r>
      <w:r>
        <w:rPr>
          <w:rFonts w:hint="eastAsia" w:cs="Times New Roman"/>
          <w:kern w:val="2"/>
          <w:sz w:val="32"/>
          <w:szCs w:val="32"/>
          <w:lang w:val="en-US" w:eastAsia="zh-CN"/>
        </w:rPr>
        <w:t>众性体育组织，支持举办各类竞技体育，组织神木运动员参加全国“十四运”、省“十七运”等重大赛事。</w:t>
      </w:r>
    </w:p>
    <w:tbl>
      <w:tblPr>
        <w:tblStyle w:val="2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0" w:type="dxa"/>
            <w:noWrap w:val="0"/>
            <w:vAlign w:val="top"/>
          </w:tcPr>
          <w:p>
            <w:pPr>
              <w:pStyle w:val="22"/>
              <w:ind w:left="0" w:leftChars="0" w:firstLine="0" w:firstLineChars="0"/>
              <w:jc w:val="both"/>
              <w:rPr>
                <w:rFonts w:hint="eastAsia" w:ascii="黑体" w:hAnsi="黑体" w:eastAsia="黑体" w:cs="黑体"/>
                <w:sz w:val="24"/>
                <w:szCs w:val="24"/>
                <w:lang w:val="en-US" w:eastAsia="zh-CN" w:bidi="ar-SA"/>
              </w:rPr>
            </w:pPr>
            <w:r>
              <w:rPr>
                <w:rFonts w:hint="eastAsia" w:ascii="黑体" w:hAnsi="黑体" w:eastAsia="黑体" w:cs="黑体"/>
                <w:sz w:val="24"/>
                <w:szCs w:val="24"/>
                <w:lang w:val="en-US" w:eastAsia="zh-CN" w:bidi="ar-SA"/>
              </w:rPr>
              <w:t>专栏21：</w:t>
            </w:r>
          </w:p>
          <w:p>
            <w:pPr>
              <w:pStyle w:val="8"/>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eastAsia="宋体"/>
                <w:b/>
                <w:bCs/>
                <w:sz w:val="28"/>
                <w:szCs w:val="28"/>
                <w:lang w:val="en-US" w:eastAsia="zh-CN"/>
              </w:rPr>
            </w:pPr>
            <w:r>
              <w:rPr>
                <w:rFonts w:hint="eastAsia" w:ascii="Times New Roman" w:hAnsi="Times New Roman"/>
                <w:sz w:val="28"/>
                <w:szCs w:val="28"/>
                <w:lang w:eastAsia="zh-CN"/>
              </w:rPr>
              <w:t>教育高质量发展重点工程</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职业教育：</w:t>
            </w:r>
            <w:r>
              <w:rPr>
                <w:rFonts w:hint="eastAsia" w:ascii="仿宋_GB2312" w:hAnsi="仿宋_GB2312" w:eastAsia="仿宋_GB2312" w:cs="仿宋_GB2312"/>
                <w:sz w:val="24"/>
                <w:szCs w:val="24"/>
                <w:lang w:val="en-US" w:eastAsia="zh-CN"/>
              </w:rPr>
              <w:t>深化职业教育产教融合，校企合作机制；打造高素质专业化职业教育管理团队和国家级教师创新教学团队；强化职业教育的继续教育功能；构建职业教育“三全育人”格局</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仿宋_GB2312" w:hAnsi="仿宋_GB2312" w:cs="仿宋_GB2312"/>
                <w:sz w:val="24"/>
                <w:szCs w:val="24"/>
                <w:lang w:val="en-US" w:eastAsia="zh-CN"/>
              </w:rPr>
            </w:pPr>
            <w:r>
              <w:rPr>
                <w:rFonts w:hint="eastAsia" w:ascii="楷体_GB2312" w:hAnsi="楷体_GB2312" w:eastAsia="楷体_GB2312" w:cs="楷体_GB2312"/>
                <w:b/>
                <w:bCs/>
                <w:sz w:val="24"/>
                <w:szCs w:val="24"/>
                <w:lang w:val="en-US" w:eastAsia="zh-CN"/>
              </w:rPr>
              <w:t>普高教育：</w:t>
            </w:r>
            <w:r>
              <w:rPr>
                <w:rFonts w:hint="eastAsia" w:ascii="仿宋_GB2312" w:hAnsi="仿宋_GB2312" w:eastAsia="仿宋_GB2312" w:cs="仿宋_GB2312"/>
                <w:sz w:val="24"/>
                <w:szCs w:val="24"/>
                <w:lang w:val="en-US" w:eastAsia="zh-CN"/>
              </w:rPr>
              <w:t>职普招生比例达到4：6。神木中学创建陕西省县域名校，神木七中创建为省级示范高中</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义务教育：</w:t>
            </w:r>
            <w:r>
              <w:rPr>
                <w:rFonts w:hint="eastAsia" w:ascii="仿宋_GB2312" w:hAnsi="仿宋_GB2312" w:eastAsia="仿宋_GB2312" w:cs="仿宋_GB2312"/>
                <w:sz w:val="24"/>
                <w:szCs w:val="24"/>
                <w:lang w:val="en-US" w:eastAsia="zh-CN"/>
              </w:rPr>
              <w:t>建成聚福家园小学、西沙中学、滨河新区九年制学校等12所义务教育学校，完成第二小学、第二中学、中鸡中学等7所学校的改扩建，新增小学学位13000个、初中学位5400个</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学前教育：</w:t>
            </w:r>
            <w:r>
              <w:rPr>
                <w:rFonts w:hint="eastAsia" w:ascii="仿宋_GB2312" w:hAnsi="仿宋_GB2312" w:eastAsia="仿宋_GB2312" w:cs="仿宋_GB2312"/>
                <w:sz w:val="24"/>
                <w:szCs w:val="24"/>
                <w:lang w:val="en-US" w:eastAsia="zh-CN"/>
              </w:rPr>
              <w:t>公办幼儿园占比达50%，普惠性幼儿园占比达96%。幼儿园学前三年毛入学率达98.5%。小区配套幼儿园治理完成率100%</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特殊教育：</w:t>
            </w:r>
            <w:r>
              <w:rPr>
                <w:rFonts w:hint="eastAsia" w:ascii="仿宋_GB2312" w:hAnsi="仿宋_GB2312" w:eastAsia="仿宋_GB2312" w:cs="仿宋_GB2312"/>
                <w:sz w:val="24"/>
                <w:szCs w:val="24"/>
                <w:lang w:val="en-US" w:eastAsia="zh-CN"/>
              </w:rPr>
              <w:t>实施学前康复教育三年和高职教育三年办学目标，特殊教育学校由九年一贯制变更为十五年免费教育</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lang w:val="en-US" w:eastAsia="zh-CN"/>
              </w:rPr>
            </w:pPr>
            <w:r>
              <w:rPr>
                <w:rFonts w:hint="eastAsia" w:ascii="楷体_GB2312" w:hAnsi="楷体_GB2312" w:eastAsia="楷体_GB2312" w:cs="楷体_GB2312"/>
                <w:b/>
                <w:bCs/>
                <w:sz w:val="24"/>
                <w:szCs w:val="24"/>
                <w:lang w:val="en-US" w:eastAsia="zh-CN"/>
              </w:rPr>
              <w:t>教育信息化：</w:t>
            </w:r>
            <w:r>
              <w:rPr>
                <w:rFonts w:hint="eastAsia" w:ascii="仿宋_GB2312" w:hAnsi="仿宋_GB2312" w:eastAsia="仿宋_GB2312" w:cs="仿宋_GB2312"/>
                <w:sz w:val="24"/>
                <w:szCs w:val="24"/>
                <w:lang w:val="en-US" w:eastAsia="zh-CN"/>
              </w:rPr>
              <w:t>1.全市所有学校建成智慧校园，在神木教育服务平台的管理下实现全市教育数据共建共享、精准决策、精准教学以及精准管理；实现学校资产与设备的互联互通和移动管理。2.神木教育城域网达到10G出口，为全市学校提供快速、安全、可控的互联网络与数据共享，实现全市网上教研，网络巡课与“三个课堂”，网络空间人人通实现常态化运行。3.建成全市教育资源库，实现本地名师、名校完整的线上课堂教学；与全省、全国名校实现常态化教研、培训与教学。</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08" w:name="_Toc1975"/>
      <w:r>
        <w:rPr>
          <w:rFonts w:hint="eastAsia" w:ascii="楷体_GB2312" w:hAnsi="楷体_GB2312" w:eastAsia="楷体_GB2312" w:cs="楷体_GB2312"/>
          <w:bCs/>
          <w:sz w:val="32"/>
          <w:szCs w:val="32"/>
        </w:rPr>
        <w:t xml:space="preserve">第三节 </w:t>
      </w:r>
      <w:r>
        <w:rPr>
          <w:rFonts w:hint="eastAsia" w:ascii="楷体_GB2312" w:hAnsi="楷体_GB2312" w:eastAsia="楷体_GB2312" w:cs="楷体_GB2312"/>
          <w:bCs/>
          <w:sz w:val="32"/>
          <w:szCs w:val="32"/>
          <w:lang w:val="en-US" w:eastAsia="zh-CN"/>
        </w:rPr>
        <w:t>深入</w:t>
      </w:r>
      <w:r>
        <w:rPr>
          <w:rFonts w:hint="eastAsia" w:ascii="楷体_GB2312" w:hAnsi="楷体_GB2312" w:eastAsia="楷体_GB2312" w:cs="楷体_GB2312"/>
          <w:bCs/>
          <w:sz w:val="32"/>
          <w:szCs w:val="32"/>
        </w:rPr>
        <w:t>推进健康神木</w:t>
      </w:r>
      <w:bookmarkEnd w:id="108"/>
    </w:p>
    <w:p>
      <w:pPr>
        <w:keepNext w:val="0"/>
        <w:keepLines w:val="0"/>
        <w:pageBreakBefore w:val="0"/>
        <w:widowControl/>
        <w:kinsoku/>
        <w:wordWrap/>
        <w:overflowPunct/>
        <w:topLinePunct w:val="0"/>
        <w:autoSpaceDE/>
        <w:autoSpaceDN/>
        <w:bidi w:val="0"/>
        <w:adjustRightInd w:val="0"/>
        <w:snapToGrid w:val="0"/>
        <w:spacing w:line="576" w:lineRule="exact"/>
        <w:ind w:firstLine="640"/>
        <w:jc w:val="both"/>
        <w:textAlignment w:val="auto"/>
        <w:rPr>
          <w:rFonts w:cs="Times New Roman"/>
          <w:kern w:val="2"/>
          <w:sz w:val="32"/>
          <w:szCs w:val="32"/>
        </w:rPr>
      </w:pPr>
      <w:r>
        <w:rPr>
          <w:rFonts w:cs="Times New Roman"/>
          <w:b/>
          <w:bCs/>
          <w:sz w:val="32"/>
          <w:szCs w:val="32"/>
        </w:rPr>
        <w:t>加强公共卫生服务体系建设。</w:t>
      </w:r>
      <w:r>
        <w:rPr>
          <w:rFonts w:cs="Times New Roman"/>
          <w:sz w:val="32"/>
          <w:szCs w:val="32"/>
        </w:rPr>
        <w:t>统筹医疗卫生资源布局</w:t>
      </w:r>
      <w:r>
        <w:rPr>
          <w:rFonts w:hint="eastAsia" w:cs="Times New Roman"/>
          <w:sz w:val="32"/>
          <w:szCs w:val="32"/>
        </w:rPr>
        <w:t>，</w:t>
      </w:r>
      <w:r>
        <w:rPr>
          <w:rFonts w:cs="Times New Roman"/>
          <w:sz w:val="32"/>
          <w:szCs w:val="32"/>
        </w:rPr>
        <w:t>整合存量</w:t>
      </w:r>
      <w:r>
        <w:rPr>
          <w:rFonts w:hint="eastAsia" w:cs="Times New Roman"/>
          <w:sz w:val="32"/>
          <w:szCs w:val="32"/>
        </w:rPr>
        <w:t>、挖掘增量，</w:t>
      </w:r>
      <w:r>
        <w:rPr>
          <w:rFonts w:cs="Times New Roman"/>
          <w:sz w:val="32"/>
          <w:szCs w:val="32"/>
        </w:rPr>
        <w:t>提高卫生资源利用率和服务水平。</w:t>
      </w:r>
      <w:r>
        <w:rPr>
          <w:rFonts w:hint="eastAsia" w:ascii="Times New Roman" w:hAnsi="Times New Roman" w:eastAsia="仿宋_GB2312" w:cs="Times New Roman"/>
          <w:kern w:val="0"/>
          <w:sz w:val="32"/>
          <w:szCs w:val="32"/>
        </w:rPr>
        <w:t>全力满足</w:t>
      </w:r>
      <w:r>
        <w:rPr>
          <w:rFonts w:hint="eastAsia" w:ascii="Times New Roman" w:hAnsi="Times New Roman" w:cs="Times New Roman"/>
          <w:kern w:val="0"/>
          <w:sz w:val="32"/>
          <w:szCs w:val="32"/>
          <w:lang w:val="en-US" w:eastAsia="zh-CN"/>
        </w:rPr>
        <w:t>居民</w:t>
      </w:r>
      <w:r>
        <w:rPr>
          <w:rFonts w:hint="eastAsia" w:ascii="Times New Roman" w:hAnsi="Times New Roman" w:eastAsia="仿宋_GB2312" w:cs="Times New Roman"/>
          <w:kern w:val="0"/>
          <w:sz w:val="32"/>
          <w:szCs w:val="32"/>
        </w:rPr>
        <w:t>健康</w:t>
      </w:r>
      <w:r>
        <w:rPr>
          <w:rFonts w:hint="eastAsia" w:ascii="Times New Roman" w:hAnsi="Times New Roman" w:cs="Times New Roman"/>
          <w:kern w:val="0"/>
          <w:sz w:val="32"/>
          <w:szCs w:val="32"/>
          <w:lang w:val="en-US" w:eastAsia="zh-CN"/>
        </w:rPr>
        <w:t>新</w:t>
      </w:r>
      <w:r>
        <w:rPr>
          <w:rFonts w:hint="eastAsia" w:ascii="Times New Roman" w:hAnsi="Times New Roman" w:eastAsia="仿宋_GB2312" w:cs="Times New Roman"/>
          <w:kern w:val="0"/>
          <w:sz w:val="32"/>
          <w:szCs w:val="32"/>
        </w:rPr>
        <w:t>需求，提高慢性病管理率和疾病预防控制能力</w:t>
      </w:r>
      <w:r>
        <w:rPr>
          <w:rFonts w:ascii="Times New Roman" w:hAnsi="Times New Roman" w:eastAsia="仿宋_GB2312" w:cs="Times New Roman"/>
          <w:kern w:val="0"/>
          <w:sz w:val="32"/>
          <w:szCs w:val="32"/>
        </w:rPr>
        <w:t>。</w:t>
      </w:r>
      <w:r>
        <w:rPr>
          <w:rFonts w:cs="Times New Roman"/>
          <w:kern w:val="2"/>
          <w:sz w:val="32"/>
          <w:szCs w:val="32"/>
        </w:rPr>
        <w:t>新建大柳塔等5所卫生院和社区卫生服务中心，</w:t>
      </w:r>
      <w:r>
        <w:rPr>
          <w:rFonts w:cs="Times New Roman"/>
          <w:sz w:val="32"/>
          <w:szCs w:val="32"/>
        </w:rPr>
        <w:t>乡镇卫生院和社区卫生服务中心达到国家“优质服务基层行”</w:t>
      </w:r>
      <w:r>
        <w:rPr>
          <w:rFonts w:cs="Times New Roman"/>
          <w:kern w:val="2"/>
          <w:sz w:val="32"/>
          <w:szCs w:val="32"/>
        </w:rPr>
        <w:t>标准。</w:t>
      </w:r>
      <w:r>
        <w:rPr>
          <w:rFonts w:hint="eastAsia" w:cs="Times New Roman"/>
          <w:kern w:val="2"/>
          <w:sz w:val="32"/>
          <w:szCs w:val="32"/>
        </w:rPr>
        <w:t>完善</w:t>
      </w:r>
      <w:r>
        <w:rPr>
          <w:rFonts w:cs="Times New Roman"/>
          <w:kern w:val="2"/>
          <w:sz w:val="32"/>
          <w:szCs w:val="32"/>
        </w:rPr>
        <w:t>市、镇街、社区（村）三级疾病防治网络，建立</w:t>
      </w:r>
      <w:r>
        <w:rPr>
          <w:rFonts w:hint="eastAsia" w:ascii="Times New Roman" w:hAnsi="Times New Roman" w:eastAsia="仿宋_GB2312" w:cs="Times New Roman"/>
          <w:sz w:val="32"/>
          <w:szCs w:val="32"/>
        </w:rPr>
        <w:t>市疾控中心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市公卫中心和市医共体总院</w:t>
      </w:r>
      <w:r>
        <w:rPr>
          <w:rFonts w:ascii="Times New Roman" w:hAnsi="Times New Roman" w:eastAsia="仿宋_GB2312" w:cs="Times New Roman"/>
          <w:sz w:val="32"/>
          <w:szCs w:val="32"/>
        </w:rPr>
        <w:t>为重点</w:t>
      </w:r>
      <w:r>
        <w:rPr>
          <w:rFonts w:cs="Times New Roman"/>
          <w:kern w:val="2"/>
          <w:sz w:val="32"/>
          <w:szCs w:val="32"/>
        </w:rPr>
        <w:t>，</w:t>
      </w:r>
      <w:r>
        <w:rPr>
          <w:rFonts w:ascii="Times New Roman" w:hAnsi="Times New Roman" w:eastAsia="仿宋_GB2312" w:cs="Times New Roman"/>
          <w:sz w:val="32"/>
          <w:szCs w:val="32"/>
        </w:rPr>
        <w:t>村卫生室和社区卫生服务站</w:t>
      </w:r>
      <w:r>
        <w:rPr>
          <w:rFonts w:cs="Times New Roman"/>
          <w:kern w:val="2"/>
          <w:sz w:val="32"/>
          <w:szCs w:val="32"/>
        </w:rPr>
        <w:t>为基础的疾病防控体系。健全完善妇幼健康服务体系，满足新时期妇幼健康新需求。</w:t>
      </w:r>
      <w:r>
        <w:rPr>
          <w:rFonts w:hint="eastAsia" w:cs="Times New Roman"/>
          <w:kern w:val="2"/>
          <w:sz w:val="32"/>
          <w:szCs w:val="32"/>
        </w:rPr>
        <w:t>建立常态化新冠肺炎疫情防控机制。</w:t>
      </w:r>
    </w:p>
    <w:p>
      <w:pPr>
        <w:keepNext w:val="0"/>
        <w:keepLines w:val="0"/>
        <w:pageBreakBefore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b/>
          <w:bCs/>
          <w:sz w:val="32"/>
          <w:szCs w:val="32"/>
        </w:rPr>
        <w:t>扩大优质医疗卫生资源供给。</w:t>
      </w:r>
      <w:r>
        <w:rPr>
          <w:rFonts w:cs="Times New Roman"/>
          <w:sz w:val="32"/>
          <w:szCs w:val="32"/>
        </w:rPr>
        <w:t>加强与</w:t>
      </w:r>
      <w:r>
        <w:rPr>
          <w:rFonts w:hint="eastAsia" w:cs="Times New Roman"/>
          <w:sz w:val="32"/>
          <w:szCs w:val="32"/>
          <w:lang w:eastAsia="zh-CN"/>
        </w:rPr>
        <w:t>三</w:t>
      </w:r>
      <w:r>
        <w:rPr>
          <w:rFonts w:hint="eastAsia" w:cs="Times New Roman"/>
          <w:sz w:val="32"/>
          <w:szCs w:val="32"/>
          <w:lang w:val="en-US" w:eastAsia="zh-CN"/>
        </w:rPr>
        <w:t>O一、四医大等</w:t>
      </w:r>
      <w:r>
        <w:rPr>
          <w:rFonts w:cs="Times New Roman"/>
          <w:sz w:val="32"/>
          <w:szCs w:val="32"/>
        </w:rPr>
        <w:t>国内知名医院的合作，引进一批</w:t>
      </w:r>
      <w:r>
        <w:rPr>
          <w:rFonts w:hint="eastAsia" w:cs="Times New Roman"/>
          <w:sz w:val="32"/>
          <w:szCs w:val="32"/>
          <w:lang w:val="en-US" w:eastAsia="zh-CN"/>
        </w:rPr>
        <w:t>适合本地</w:t>
      </w:r>
      <w:r>
        <w:rPr>
          <w:rFonts w:cs="Times New Roman"/>
          <w:sz w:val="32"/>
          <w:szCs w:val="32"/>
        </w:rPr>
        <w:t>医疗</w:t>
      </w:r>
      <w:r>
        <w:rPr>
          <w:rFonts w:hint="eastAsia" w:cs="Times New Roman"/>
          <w:sz w:val="32"/>
          <w:szCs w:val="32"/>
          <w:lang w:val="en-US" w:eastAsia="zh-CN"/>
        </w:rPr>
        <w:t>新技术</w:t>
      </w:r>
      <w:r>
        <w:rPr>
          <w:rFonts w:hint="eastAsia" w:cs="Times New Roman"/>
          <w:sz w:val="32"/>
          <w:szCs w:val="32"/>
        </w:rPr>
        <w:t>，</w:t>
      </w:r>
      <w:r>
        <w:rPr>
          <w:rFonts w:ascii="Times New Roman" w:hAnsi="Times New Roman" w:eastAsia="仿宋_GB2312" w:cs="Times New Roman"/>
          <w:kern w:val="0"/>
          <w:sz w:val="32"/>
          <w:szCs w:val="32"/>
        </w:rPr>
        <w:t>培育一批</w:t>
      </w:r>
      <w:r>
        <w:rPr>
          <w:rFonts w:hint="eastAsia" w:ascii="Times New Roman" w:hAnsi="Times New Roman" w:eastAsia="仿宋_GB2312" w:cs="Times New Roman"/>
          <w:kern w:val="0"/>
          <w:sz w:val="32"/>
          <w:szCs w:val="32"/>
        </w:rPr>
        <w:t>重点学科和</w:t>
      </w:r>
      <w:r>
        <w:rPr>
          <w:rFonts w:ascii="Times New Roman" w:hAnsi="Times New Roman" w:eastAsia="仿宋_GB2312" w:cs="Times New Roman"/>
          <w:kern w:val="0"/>
          <w:sz w:val="32"/>
          <w:szCs w:val="32"/>
        </w:rPr>
        <w:t>市</w:t>
      </w:r>
      <w:r>
        <w:rPr>
          <w:rFonts w:hint="eastAsia" w:ascii="Times New Roman" w:hAnsi="Times New Roman" w:eastAsia="仿宋_GB2312" w:cs="Times New Roman"/>
          <w:kern w:val="0"/>
          <w:sz w:val="32"/>
          <w:szCs w:val="32"/>
        </w:rPr>
        <w:t>内</w:t>
      </w:r>
      <w:r>
        <w:rPr>
          <w:rFonts w:ascii="Times New Roman" w:hAnsi="Times New Roman" w:eastAsia="仿宋_GB2312" w:cs="Times New Roman"/>
          <w:kern w:val="0"/>
          <w:sz w:val="32"/>
          <w:szCs w:val="32"/>
        </w:rPr>
        <w:t>名医，</w:t>
      </w:r>
      <w:r>
        <w:rPr>
          <w:rFonts w:cs="Times New Roman"/>
          <w:sz w:val="32"/>
          <w:szCs w:val="32"/>
        </w:rPr>
        <w:t>补齐医疗资源短板。</w:t>
      </w:r>
      <w:r>
        <w:rPr>
          <w:rFonts w:hint="eastAsia" w:ascii="Times New Roman" w:hAnsi="Times New Roman" w:eastAsia="仿宋_GB2312" w:cs="Times New Roman"/>
          <w:kern w:val="0"/>
          <w:sz w:val="32"/>
          <w:szCs w:val="32"/>
        </w:rPr>
        <w:t>以基本</w:t>
      </w:r>
      <w:r>
        <w:rPr>
          <w:rFonts w:ascii="Times New Roman" w:hAnsi="Times New Roman" w:eastAsia="仿宋_GB2312" w:cs="Times New Roman"/>
          <w:kern w:val="0"/>
          <w:sz w:val="32"/>
          <w:szCs w:val="32"/>
        </w:rPr>
        <w:t>医疗服务能力</w:t>
      </w:r>
      <w:r>
        <w:rPr>
          <w:rFonts w:hint="eastAsia" w:ascii="Times New Roman" w:hAnsi="Times New Roman" w:eastAsia="仿宋_GB2312" w:cs="Times New Roman"/>
          <w:kern w:val="0"/>
          <w:sz w:val="32"/>
          <w:szCs w:val="32"/>
        </w:rPr>
        <w:t>发展带动国家基本公共卫生服务项目服务水平提升。</w:t>
      </w:r>
      <w:r>
        <w:rPr>
          <w:rFonts w:hint="eastAsia" w:ascii="Times New Roman" w:hAnsi="Times New Roman" w:cs="Times New Roman"/>
          <w:kern w:val="0"/>
          <w:sz w:val="32"/>
          <w:szCs w:val="32"/>
          <w:lang w:val="en-US" w:eastAsia="zh-CN"/>
        </w:rPr>
        <w:t>构建</w:t>
      </w:r>
      <w:r>
        <w:rPr>
          <w:rFonts w:ascii="Times New Roman" w:hAnsi="Times New Roman" w:eastAsia="仿宋_GB2312" w:cs="Times New Roman"/>
          <w:kern w:val="0"/>
          <w:sz w:val="32"/>
          <w:szCs w:val="32"/>
        </w:rPr>
        <w:t>远程医疗</w:t>
      </w:r>
      <w:r>
        <w:rPr>
          <w:rFonts w:hint="eastAsia" w:ascii="Times New Roman" w:hAnsi="Times New Roman" w:eastAsia="仿宋_GB2312" w:cs="Times New Roman"/>
          <w:kern w:val="0"/>
          <w:sz w:val="32"/>
          <w:szCs w:val="32"/>
        </w:rPr>
        <w:t>、远程会诊、处方互认、上下流动的信息共享机制</w:t>
      </w:r>
      <w:r>
        <w:rPr>
          <w:rFonts w:ascii="Times New Roman" w:hAnsi="Times New Roman" w:eastAsia="仿宋_GB2312" w:cs="Times New Roman"/>
          <w:kern w:val="0"/>
          <w:sz w:val="32"/>
          <w:szCs w:val="32"/>
        </w:rPr>
        <w:t>，</w:t>
      </w:r>
      <w:r>
        <w:rPr>
          <w:rFonts w:cs="Times New Roman"/>
          <w:sz w:val="32"/>
          <w:szCs w:val="32"/>
        </w:rPr>
        <w:t>形成</w:t>
      </w:r>
      <w:r>
        <w:rPr>
          <w:rFonts w:hint="eastAsia" w:cs="Times New Roman"/>
          <w:sz w:val="32"/>
          <w:szCs w:val="32"/>
        </w:rPr>
        <w:t>“小病不出镇、大病不出市、康复在基层”的</w:t>
      </w:r>
      <w:r>
        <w:rPr>
          <w:rFonts w:hint="eastAsia" w:ascii="Times New Roman" w:hAnsi="Times New Roman" w:eastAsia="仿宋_GB2312" w:cs="Times New Roman"/>
          <w:kern w:val="0"/>
          <w:sz w:val="32"/>
          <w:szCs w:val="32"/>
        </w:rPr>
        <w:t>医康养</w:t>
      </w:r>
      <w:r>
        <w:rPr>
          <w:rFonts w:hint="eastAsia" w:cs="Times New Roman"/>
          <w:kern w:val="0"/>
          <w:sz w:val="32"/>
          <w:szCs w:val="32"/>
          <w:lang w:eastAsia="zh-CN"/>
        </w:rPr>
        <w:t>同步</w:t>
      </w:r>
      <w:r>
        <w:rPr>
          <w:rFonts w:hint="eastAsia" w:ascii="Times New Roman" w:hAnsi="Times New Roman" w:eastAsia="仿宋_GB2312" w:cs="Times New Roman"/>
          <w:kern w:val="0"/>
          <w:sz w:val="32"/>
          <w:szCs w:val="32"/>
        </w:rPr>
        <w:t>发展</w:t>
      </w:r>
      <w:r>
        <w:rPr>
          <w:rFonts w:hint="eastAsia" w:cs="Times New Roman"/>
          <w:sz w:val="32"/>
          <w:szCs w:val="32"/>
          <w:lang w:val="en-US" w:eastAsia="zh-CN"/>
        </w:rPr>
        <w:t>新</w:t>
      </w:r>
      <w:r>
        <w:rPr>
          <w:rFonts w:cs="Times New Roman"/>
          <w:sz w:val="32"/>
          <w:szCs w:val="32"/>
        </w:rPr>
        <w:t>格局。</w:t>
      </w:r>
    </w:p>
    <w:p>
      <w:pPr>
        <w:keepNext w:val="0"/>
        <w:keepLines w:val="0"/>
        <w:pageBreakBefore w:val="0"/>
        <w:widowControl/>
        <w:kinsoku/>
        <w:wordWrap/>
        <w:overflowPunct/>
        <w:topLinePunct w:val="0"/>
        <w:autoSpaceDE/>
        <w:autoSpaceDN/>
        <w:bidi w:val="0"/>
        <w:adjustRightInd w:val="0"/>
        <w:snapToGrid w:val="0"/>
        <w:spacing w:line="576" w:lineRule="exact"/>
        <w:ind w:firstLine="640"/>
        <w:textAlignment w:val="auto"/>
        <w:rPr>
          <w:rFonts w:cs="Times New Roman"/>
          <w:sz w:val="32"/>
          <w:szCs w:val="32"/>
        </w:rPr>
      </w:pPr>
      <w:r>
        <w:rPr>
          <w:rFonts w:cs="Times New Roman"/>
          <w:b/>
          <w:bCs/>
          <w:sz w:val="32"/>
          <w:szCs w:val="32"/>
        </w:rPr>
        <w:t>推进中医药健康服务发展。</w:t>
      </w:r>
      <w:r>
        <w:rPr>
          <w:rFonts w:cs="Times New Roman"/>
          <w:sz w:val="32"/>
          <w:szCs w:val="32"/>
        </w:rPr>
        <w:t>推动中医药</w:t>
      </w:r>
      <w:r>
        <w:rPr>
          <w:rFonts w:hint="eastAsia" w:cs="Times New Roman"/>
          <w:sz w:val="32"/>
          <w:szCs w:val="32"/>
          <w:lang w:val="en-US" w:eastAsia="zh-CN"/>
        </w:rPr>
        <w:t>文化</w:t>
      </w:r>
      <w:r>
        <w:rPr>
          <w:rFonts w:cs="Times New Roman"/>
          <w:sz w:val="32"/>
          <w:szCs w:val="32"/>
        </w:rPr>
        <w:t>传承和</w:t>
      </w:r>
      <w:r>
        <w:rPr>
          <w:rFonts w:hint="eastAsia" w:cs="Times New Roman"/>
          <w:sz w:val="32"/>
          <w:szCs w:val="32"/>
          <w:lang w:val="en-US" w:eastAsia="zh-CN"/>
        </w:rPr>
        <w:t>成果</w:t>
      </w:r>
      <w:r>
        <w:rPr>
          <w:rFonts w:cs="Times New Roman"/>
          <w:sz w:val="32"/>
          <w:szCs w:val="32"/>
        </w:rPr>
        <w:t>创新，</w:t>
      </w:r>
      <w:r>
        <w:rPr>
          <w:rFonts w:hint="eastAsia" w:cs="Times New Roman"/>
          <w:sz w:val="32"/>
          <w:szCs w:val="32"/>
        </w:rPr>
        <w:t>创建</w:t>
      </w:r>
      <w:r>
        <w:rPr>
          <w:rFonts w:cs="Times New Roman"/>
          <w:sz w:val="32"/>
          <w:szCs w:val="32"/>
        </w:rPr>
        <w:t>国家中医药综合改革试验区。</w:t>
      </w:r>
      <w:r>
        <w:rPr>
          <w:rFonts w:hint="eastAsia" w:cs="Times New Roman"/>
          <w:sz w:val="32"/>
          <w:szCs w:val="32"/>
        </w:rPr>
        <w:t>发挥本土中医世家引领作用，</w:t>
      </w:r>
      <w:r>
        <w:rPr>
          <w:rFonts w:cs="Times New Roman"/>
          <w:sz w:val="32"/>
          <w:szCs w:val="32"/>
        </w:rPr>
        <w:t>培养一支</w:t>
      </w:r>
      <w:r>
        <w:rPr>
          <w:rFonts w:hint="eastAsia" w:cs="Times New Roman"/>
          <w:sz w:val="32"/>
          <w:szCs w:val="32"/>
        </w:rPr>
        <w:t>技术精湛、素质过硬的</w:t>
      </w:r>
      <w:r>
        <w:rPr>
          <w:rFonts w:cs="Times New Roman"/>
          <w:sz w:val="32"/>
          <w:szCs w:val="32"/>
        </w:rPr>
        <w:t>中医人才队伍。发挥中医药的优势特色，逐步将中医“治未病”</w:t>
      </w:r>
      <w:r>
        <w:rPr>
          <w:rFonts w:hint="eastAsia" w:ascii="Times New Roman" w:hAnsi="Times New Roman" w:eastAsia="仿宋_GB2312" w:cs="Times New Roman"/>
          <w:kern w:val="0"/>
          <w:sz w:val="32"/>
          <w:szCs w:val="32"/>
        </w:rPr>
        <w:t>作为改善</w:t>
      </w:r>
      <w:r>
        <w:rPr>
          <w:rFonts w:hint="eastAsia" w:ascii="Times New Roman" w:hAnsi="Times New Roman" w:cs="Times New Roman"/>
          <w:kern w:val="0"/>
          <w:sz w:val="32"/>
          <w:szCs w:val="32"/>
          <w:lang w:val="en-US" w:eastAsia="zh-CN"/>
        </w:rPr>
        <w:t>群众</w:t>
      </w:r>
      <w:r>
        <w:rPr>
          <w:rFonts w:hint="eastAsia" w:ascii="Times New Roman" w:hAnsi="Times New Roman" w:eastAsia="仿宋_GB2312" w:cs="Times New Roman"/>
          <w:kern w:val="0"/>
          <w:sz w:val="32"/>
          <w:szCs w:val="32"/>
        </w:rPr>
        <w:t>亚健康</w:t>
      </w:r>
      <w:r>
        <w:rPr>
          <w:rFonts w:hint="eastAsia" w:ascii="Times New Roman" w:hAnsi="Times New Roman" w:cs="Times New Roman"/>
          <w:kern w:val="0"/>
          <w:sz w:val="32"/>
          <w:szCs w:val="32"/>
          <w:lang w:val="en-US" w:eastAsia="zh-CN"/>
        </w:rPr>
        <w:t>的主要手段</w:t>
      </w:r>
      <w:r>
        <w:rPr>
          <w:rFonts w:cs="Times New Roman"/>
          <w:sz w:val="32"/>
          <w:szCs w:val="32"/>
        </w:rPr>
        <w:t>。</w:t>
      </w:r>
    </w:p>
    <w:p>
      <w:pPr>
        <w:keepNext w:val="0"/>
        <w:keepLines w:val="0"/>
        <w:pageBreakBefore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cs="Times New Roman"/>
          <w:b/>
          <w:bCs/>
          <w:sz w:val="32"/>
          <w:szCs w:val="32"/>
        </w:rPr>
        <w:t>全面深化医药卫生体制改革。</w:t>
      </w:r>
      <w:r>
        <w:rPr>
          <w:rFonts w:hint="eastAsia" w:cs="Times New Roman"/>
          <w:kern w:val="0"/>
          <w:sz w:val="32"/>
          <w:szCs w:val="32"/>
          <w:lang w:val="en-US" w:eastAsia="zh-CN"/>
        </w:rPr>
        <w:t>持续推进</w:t>
      </w:r>
      <w:r>
        <w:rPr>
          <w:rFonts w:hint="eastAsia" w:ascii="Times New Roman" w:hAnsi="Times New Roman" w:eastAsia="仿宋_GB2312" w:cs="Times New Roman"/>
          <w:kern w:val="0"/>
          <w:sz w:val="32"/>
          <w:szCs w:val="32"/>
        </w:rPr>
        <w:t>紧密型</w:t>
      </w:r>
      <w:r>
        <w:rPr>
          <w:rFonts w:ascii="Times New Roman" w:hAnsi="Times New Roman" w:eastAsia="仿宋_GB2312" w:cs="Times New Roman"/>
          <w:kern w:val="0"/>
          <w:sz w:val="32"/>
          <w:szCs w:val="32"/>
        </w:rPr>
        <w:t>医共体</w:t>
      </w:r>
      <w:r>
        <w:rPr>
          <w:rFonts w:hint="eastAsia" w:ascii="Times New Roman" w:hAnsi="Times New Roman" w:eastAsia="仿宋_GB2312" w:cs="Times New Roman"/>
          <w:sz w:val="32"/>
          <w:szCs w:val="32"/>
        </w:rPr>
        <w:t>建设</w:t>
      </w:r>
      <w:r>
        <w:rPr>
          <w:rFonts w:ascii="Times New Roman" w:hAnsi="Times New Roman" w:eastAsia="仿宋_GB2312" w:cs="Times New Roman"/>
          <w:kern w:val="0"/>
          <w:sz w:val="32"/>
          <w:szCs w:val="32"/>
        </w:rPr>
        <w:t>，</w:t>
      </w:r>
      <w:r>
        <w:rPr>
          <w:rFonts w:hint="eastAsia" w:cs="Times New Roman"/>
          <w:sz w:val="32"/>
          <w:szCs w:val="32"/>
        </w:rPr>
        <w:t>完善</w:t>
      </w:r>
      <w:r>
        <w:rPr>
          <w:rFonts w:cs="Times New Roman"/>
          <w:sz w:val="32"/>
          <w:szCs w:val="32"/>
        </w:rPr>
        <w:t>分级诊疗制度，加强定点医药机构和医保基金监管，提高全市人民健康保障水平。深化三医联动改革，完善现代医院管理制度，</w:t>
      </w:r>
      <w:r>
        <w:rPr>
          <w:rFonts w:hint="eastAsia" w:cs="Times New Roman"/>
          <w:sz w:val="32"/>
          <w:szCs w:val="32"/>
        </w:rPr>
        <w:t>改革</w:t>
      </w:r>
      <w:r>
        <w:rPr>
          <w:rFonts w:cs="Times New Roman"/>
          <w:sz w:val="32"/>
          <w:szCs w:val="32"/>
        </w:rPr>
        <w:t>医</w:t>
      </w:r>
      <w:r>
        <w:rPr>
          <w:rFonts w:hint="eastAsia" w:cs="Times New Roman"/>
          <w:sz w:val="32"/>
          <w:szCs w:val="32"/>
        </w:rPr>
        <w:t>药</w:t>
      </w:r>
      <w:r>
        <w:rPr>
          <w:rFonts w:cs="Times New Roman"/>
          <w:sz w:val="32"/>
          <w:szCs w:val="32"/>
        </w:rPr>
        <w:t>行业人事薪酬制度</w:t>
      </w:r>
      <w:r>
        <w:rPr>
          <w:rFonts w:hint="eastAsia" w:cs="Times New Roman"/>
          <w:sz w:val="32"/>
          <w:szCs w:val="32"/>
        </w:rPr>
        <w:t>，</w:t>
      </w:r>
      <w:r>
        <w:rPr>
          <w:rFonts w:cs="Times New Roman"/>
          <w:sz w:val="32"/>
          <w:szCs w:val="32"/>
        </w:rPr>
        <w:t>推动基本医保、大病保险、医疗救助、商业健康保险、社会慈善等衔接配合，构建多层次医疗保障网。</w:t>
      </w:r>
    </w:p>
    <w:tbl>
      <w:tblPr>
        <w:tblStyle w:val="25"/>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0" w:type="dxa"/>
            <w:noWrap w:val="0"/>
            <w:vAlign w:val="top"/>
          </w:tcPr>
          <w:p>
            <w:pPr>
              <w:pStyle w:val="22"/>
              <w:ind w:left="0" w:leftChars="0" w:firstLine="0" w:firstLineChars="0"/>
              <w:jc w:val="both"/>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专栏22：</w:t>
            </w:r>
          </w:p>
          <w:p>
            <w:pPr>
              <w:pStyle w:val="22"/>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健康神木重点工程</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疾病预防控制体系：</w:t>
            </w:r>
            <w:r>
              <w:rPr>
                <w:rFonts w:hint="eastAsia" w:ascii="仿宋_GB2312" w:hAnsi="仿宋_GB2312" w:eastAsia="仿宋_GB2312" w:cs="仿宋_GB2312"/>
                <w:sz w:val="24"/>
                <w:szCs w:val="24"/>
                <w:lang w:val="en-US" w:eastAsia="zh-CN"/>
              </w:rPr>
              <w:t>建设高标准的市疾控中心和中心实验室，建成5个P2生物安全实验室和1个标准化生物样本库。完善全市预防接种信息系统，实现疫苗全流程信息化管理、智慧数字门诊全覆盖</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基层公共卫生体系：</w:t>
            </w:r>
            <w:r>
              <w:rPr>
                <w:rFonts w:hint="eastAsia" w:ascii="仿宋_GB2312" w:hAnsi="仿宋_GB2312" w:cs="仿宋_GB2312"/>
                <w:sz w:val="24"/>
                <w:szCs w:val="24"/>
                <w:lang w:val="en-US" w:eastAsia="zh-CN"/>
              </w:rPr>
              <w:t>建设神木市中医院，</w:t>
            </w:r>
            <w:r>
              <w:rPr>
                <w:rFonts w:hint="eastAsia" w:ascii="仿宋_GB2312" w:hAnsi="仿宋_GB2312" w:eastAsia="仿宋_GB2312" w:cs="仿宋_GB2312"/>
                <w:sz w:val="24"/>
                <w:szCs w:val="24"/>
                <w:lang w:val="en-US" w:eastAsia="zh-CN"/>
              </w:rPr>
              <w:t>加快妇幼保健医院基础设施改扩建工作，新建马镇、大柳塔和永兴社区卫生服务中心。</w:t>
            </w:r>
            <w:r>
              <w:rPr>
                <w:rFonts w:hint="eastAsia" w:ascii="仿宋_GB2312" w:hAnsi="仿宋_GB2312" w:cs="仿宋_GB2312"/>
                <w:sz w:val="24"/>
                <w:szCs w:val="24"/>
                <w:lang w:val="en-US" w:eastAsia="zh-CN"/>
              </w:rPr>
              <w:t>持续</w:t>
            </w:r>
            <w:r>
              <w:rPr>
                <w:rFonts w:hint="eastAsia" w:ascii="仿宋_GB2312" w:hAnsi="仿宋_GB2312" w:eastAsia="仿宋_GB2312" w:cs="仿宋_GB2312"/>
                <w:sz w:val="24"/>
                <w:szCs w:val="24"/>
                <w:lang w:val="en-US" w:eastAsia="zh-CN"/>
              </w:rPr>
              <w:t>推进紧密型医联体建设</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卫生健康执法体系：</w:t>
            </w:r>
            <w:r>
              <w:rPr>
                <w:rFonts w:hint="eastAsia" w:ascii="仿宋_GB2312" w:hAnsi="仿宋_GB2312" w:eastAsia="仿宋_GB2312" w:cs="仿宋_GB2312"/>
                <w:sz w:val="24"/>
                <w:szCs w:val="24"/>
                <w:lang w:val="en-US" w:eastAsia="zh-CN"/>
              </w:rPr>
              <w:t>完成市卫生监督所迁址和建设改造。按照每万常住人口不低于1.5名的标准配备卫生健康执法人员</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信息网络体系：</w:t>
            </w:r>
            <w:r>
              <w:rPr>
                <w:rFonts w:hint="eastAsia" w:ascii="仿宋_GB2312" w:hAnsi="仿宋_GB2312" w:eastAsia="仿宋_GB2312" w:cs="仿宋_GB2312"/>
                <w:sz w:val="24"/>
                <w:szCs w:val="24"/>
                <w:lang w:val="en-US" w:eastAsia="zh-CN"/>
              </w:rPr>
              <w:t>构建覆盖市、镇街、村（社区）三级的功能完善、标准统一的公共卫生信息系统。加快建设面向重大公共卫生突发事件的5G智慧医疗系统</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健康教育与健康促进体系：</w:t>
            </w:r>
            <w:r>
              <w:rPr>
                <w:rFonts w:hint="eastAsia" w:ascii="仿宋_GB2312" w:hAnsi="仿宋_GB2312" w:eastAsia="仿宋_GB2312" w:cs="仿宋_GB2312"/>
                <w:sz w:val="24"/>
                <w:szCs w:val="24"/>
                <w:lang w:val="en-US" w:eastAsia="zh-CN"/>
              </w:rPr>
              <w:t>建立市政府为指导、卫健局为主体的健康教育与健康促进工作推进机制。充分利用各类媒体深入开展健康教育专题</w:t>
            </w:r>
            <w:r>
              <w:rPr>
                <w:rFonts w:hint="eastAsia" w:ascii="仿宋_GB2312" w:hAnsi="仿宋_GB2312" w:cs="仿宋_GB2312"/>
                <w:sz w:val="24"/>
                <w:szCs w:val="24"/>
                <w:lang w:val="en-US" w:eastAsia="zh-CN"/>
              </w:rPr>
              <w:t>宣</w:t>
            </w:r>
            <w:r>
              <w:rPr>
                <w:rFonts w:hint="eastAsia" w:ascii="仿宋_GB2312" w:hAnsi="仿宋_GB2312" w:eastAsia="仿宋_GB2312" w:cs="仿宋_GB2312"/>
                <w:sz w:val="24"/>
                <w:szCs w:val="24"/>
                <w:lang w:val="en-US" w:eastAsia="zh-CN"/>
              </w:rPr>
              <w:t>传，提高健康教育覆盖面</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ascii="楷体_GB2312" w:hAnsi="楷体_GB2312" w:eastAsia="楷体_GB2312" w:cs="楷体_GB2312"/>
                <w:b/>
                <w:bCs/>
                <w:sz w:val="24"/>
                <w:szCs w:val="24"/>
                <w:lang w:val="en-US" w:eastAsia="zh-CN"/>
              </w:rPr>
            </w:pPr>
            <w:r>
              <w:rPr>
                <w:rFonts w:hint="eastAsia" w:ascii="楷体_GB2312" w:hAnsi="楷体_GB2312" w:eastAsia="楷体_GB2312" w:cs="楷体_GB2312"/>
                <w:b/>
                <w:bCs/>
                <w:sz w:val="24"/>
                <w:szCs w:val="24"/>
                <w:lang w:val="en-US" w:eastAsia="zh-CN"/>
              </w:rPr>
              <w:t>人才队伍体系：</w:t>
            </w:r>
            <w:r>
              <w:rPr>
                <w:rFonts w:hint="eastAsia" w:ascii="仿宋_GB2312" w:hAnsi="仿宋_GB2312" w:eastAsia="仿宋_GB2312" w:cs="仿宋_GB2312"/>
                <w:sz w:val="24"/>
                <w:szCs w:val="24"/>
                <w:lang w:val="en-US" w:eastAsia="zh-CN"/>
              </w:rPr>
              <w:t>按照城乡每万居民拥有2-3名合格的全科医生，全面加强全科医生培养工作。实施卫健系统人事薪酬制度综合改革</w:t>
            </w:r>
            <w:r>
              <w:rPr>
                <w:rFonts w:hint="eastAsia" w:ascii="仿宋_GB2312" w:hAnsi="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jc w:val="both"/>
              <w:textAlignment w:val="auto"/>
              <w:rPr>
                <w:rFonts w:hint="eastAsia"/>
                <w:lang w:val="en-US" w:eastAsia="zh-CN"/>
              </w:rPr>
            </w:pPr>
            <w:r>
              <w:rPr>
                <w:rFonts w:hint="eastAsia" w:ascii="楷体_GB2312" w:hAnsi="楷体_GB2312" w:eastAsia="楷体_GB2312" w:cs="楷体_GB2312"/>
                <w:b/>
                <w:bCs/>
                <w:sz w:val="24"/>
                <w:szCs w:val="24"/>
                <w:lang w:val="en-US" w:eastAsia="zh-CN"/>
              </w:rPr>
              <w:t>应急响应机制：</w:t>
            </w:r>
            <w:r>
              <w:rPr>
                <w:rFonts w:hint="eastAsia" w:ascii="仿宋_GB2312" w:hAnsi="仿宋_GB2312" w:eastAsia="仿宋_GB2312" w:cs="仿宋_GB2312"/>
                <w:sz w:val="24"/>
                <w:szCs w:val="24"/>
                <w:lang w:val="en-US" w:eastAsia="zh-CN"/>
              </w:rPr>
              <w:t>建成投用市公共卫生应急指挥中心，完成全市公共卫生应急指挥系统建设，建立公共卫生应急队伍。</w:t>
            </w:r>
          </w:p>
        </w:tc>
      </w:tr>
    </w:tbl>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109" w:name="_Toc30497"/>
      <w:r>
        <w:rPr>
          <w:rFonts w:hint="eastAsia" w:ascii="楷体_GB2312" w:hAnsi="楷体_GB2312" w:eastAsia="楷体_GB2312" w:cs="楷体_GB2312"/>
          <w:bCs/>
          <w:sz w:val="32"/>
          <w:szCs w:val="32"/>
        </w:rPr>
        <w:t xml:space="preserve">第四节 </w:t>
      </w:r>
      <w:r>
        <w:rPr>
          <w:rFonts w:hint="eastAsia" w:ascii="楷体_GB2312" w:hAnsi="楷体_GB2312" w:eastAsia="楷体_GB2312" w:cs="楷体_GB2312"/>
          <w:bCs/>
          <w:sz w:val="32"/>
          <w:szCs w:val="32"/>
          <w:lang w:eastAsia="zh-CN"/>
        </w:rPr>
        <w:t>积极应对人口老龄化</w:t>
      </w:r>
      <w:bookmarkEnd w:id="109"/>
    </w:p>
    <w:p>
      <w:pPr>
        <w:keepNext w:val="0"/>
        <w:keepLines w:val="0"/>
        <w:pageBreakBefore w:val="0"/>
        <w:widowControl/>
        <w:suppressLineNumbers w:val="0"/>
        <w:kinsoku/>
        <w:wordWrap/>
        <w:overflowPunct/>
        <w:topLinePunct w:val="0"/>
        <w:autoSpaceDE/>
        <w:autoSpaceDN/>
        <w:bidi w:val="0"/>
        <w:adjustRightInd w:val="0"/>
        <w:snapToGrid w:val="0"/>
        <w:spacing w:line="576" w:lineRule="exact"/>
        <w:jc w:val="left"/>
        <w:textAlignment w:val="auto"/>
        <w:rPr>
          <w:rFonts w:hint="default"/>
          <w:lang w:val="en-US"/>
        </w:rPr>
      </w:pPr>
      <w:r>
        <w:rPr>
          <w:rFonts w:hint="eastAsia" w:ascii="Times New Roman" w:hAnsi="Times New Roman" w:cs="Times New Roman"/>
          <w:b/>
          <w:bCs/>
          <w:sz w:val="32"/>
          <w:szCs w:val="32"/>
          <w:lang w:val="en-US" w:eastAsia="zh-CN"/>
        </w:rPr>
        <w:t>促进人口长期均衡发展。</w:t>
      </w:r>
      <w:r>
        <w:rPr>
          <w:rFonts w:ascii="Times New Roman" w:hAnsi="Times New Roman" w:cs="Times New Roman"/>
          <w:sz w:val="32"/>
          <w:szCs w:val="32"/>
          <w:lang w:val="en-US" w:eastAsia="zh-CN"/>
        </w:rPr>
        <w:t>推进二孩政策平稳实施，加强生育政策配套衔接，</w:t>
      </w:r>
      <w:r>
        <w:rPr>
          <w:rFonts w:hint="eastAsia" w:ascii="Times New Roman" w:hAnsi="Times New Roman" w:cs="Times New Roman"/>
          <w:sz w:val="32"/>
          <w:szCs w:val="32"/>
          <w:lang w:val="en-US" w:eastAsia="zh-CN"/>
        </w:rPr>
        <w:t>及时落实全国生育相关政策，增强生育政策包容性，</w:t>
      </w:r>
      <w:r>
        <w:rPr>
          <w:rFonts w:ascii="Times New Roman" w:hAnsi="Times New Roman" w:cs="Times New Roman"/>
          <w:sz w:val="32"/>
          <w:szCs w:val="32"/>
          <w:lang w:val="en-US" w:eastAsia="zh-CN"/>
        </w:rPr>
        <w:t>全面落实产假和陪产假制度，积极创造鼓励生育的政策环境，推动人口总量保持适度增长。加强农村妇女、高龄妇女和流动妇女健康服务，全面保障生育安全和新生儿健康。加强出生人口性别比综合治理，严厉打击非医学需要胎儿性别鉴定和人工流产。健全3岁以下婴幼儿托育服务体系，“十四五”基本实现托育服务供需平衡。</w:t>
      </w:r>
      <w:r>
        <w:rPr>
          <w:rFonts w:hint="eastAsia" w:ascii="Times New Roman" w:hAnsi="Times New Roman" w:cs="Times New Roman"/>
          <w:sz w:val="32"/>
          <w:szCs w:val="32"/>
          <w:lang w:val="en-US" w:eastAsia="zh-CN"/>
        </w:rPr>
        <w:t>到2025年，全市</w:t>
      </w:r>
      <w:r>
        <w:rPr>
          <w:rFonts w:hint="eastAsia" w:cs="Times New Roman"/>
          <w:sz w:val="32"/>
          <w:szCs w:val="32"/>
          <w:lang w:val="en-US" w:eastAsia="zh-CN"/>
        </w:rPr>
        <w:t>总人口</w:t>
      </w:r>
      <w:r>
        <w:rPr>
          <w:rFonts w:hint="eastAsia" w:ascii="Times New Roman" w:hAnsi="Times New Roman" w:cs="Times New Roman"/>
          <w:sz w:val="32"/>
          <w:szCs w:val="32"/>
          <w:lang w:val="en-US" w:eastAsia="zh-CN"/>
        </w:rPr>
        <w:t>达到</w:t>
      </w:r>
      <w:r>
        <w:rPr>
          <w:rFonts w:hint="eastAsia" w:cs="Times New Roman"/>
          <w:sz w:val="32"/>
          <w:szCs w:val="32"/>
          <w:lang w:val="en-US" w:eastAsia="zh-CN"/>
        </w:rPr>
        <w:t>60</w:t>
      </w:r>
      <w:r>
        <w:rPr>
          <w:rFonts w:hint="eastAsia" w:ascii="Times New Roman" w:hAnsi="Times New Roman" w:cs="Times New Roman"/>
          <w:sz w:val="32"/>
          <w:szCs w:val="32"/>
          <w:lang w:val="en-US" w:eastAsia="zh-CN"/>
        </w:rPr>
        <w:t>万。</w:t>
      </w:r>
    </w:p>
    <w:p>
      <w:pPr>
        <w:keepNext w:val="0"/>
        <w:keepLines w:val="0"/>
        <w:pageBreakBefore w:val="0"/>
        <w:kinsoku/>
        <w:wordWrap/>
        <w:overflowPunct/>
        <w:topLinePunct w:val="0"/>
        <w:autoSpaceDE/>
        <w:autoSpaceDN/>
        <w:bidi w:val="0"/>
        <w:adjustRightInd w:val="0"/>
        <w:snapToGrid w:val="0"/>
        <w:spacing w:line="576" w:lineRule="exact"/>
        <w:ind w:firstLine="640"/>
        <w:jc w:val="both"/>
        <w:textAlignment w:val="auto"/>
        <w:rPr>
          <w:rFonts w:cs="Times New Roman"/>
          <w:sz w:val="32"/>
          <w:szCs w:val="32"/>
        </w:rPr>
      </w:pPr>
      <w:r>
        <w:rPr>
          <w:rFonts w:hint="eastAsia" w:ascii="Times New Roman" w:hAnsi="Times New Roman" w:cs="Times New Roman"/>
          <w:b/>
          <w:bCs/>
          <w:sz w:val="32"/>
          <w:szCs w:val="32"/>
          <w:lang w:val="en-US" w:eastAsia="zh-CN"/>
        </w:rPr>
        <w:t>提高养老服务水平。</w:t>
      </w:r>
      <w:r>
        <w:rPr>
          <w:rFonts w:cs="Times New Roman"/>
          <w:sz w:val="32"/>
          <w:szCs w:val="32"/>
        </w:rPr>
        <w:t>大力发展养老服务业，形成以居家为基础、社区为依托、机构为补充、医养相结合的养老服务体系</w:t>
      </w:r>
      <w:r>
        <w:rPr>
          <w:rFonts w:hint="eastAsia" w:cs="Times New Roman"/>
          <w:sz w:val="32"/>
          <w:szCs w:val="32"/>
        </w:rPr>
        <w:t>，提供多层次、多样化养老服务。建立养老服务清单制度，梯次推开</w:t>
      </w:r>
      <w:r>
        <w:rPr>
          <w:rFonts w:cs="Times New Roman"/>
          <w:sz w:val="32"/>
          <w:szCs w:val="32"/>
        </w:rPr>
        <w:t>智慧居家养老服务</w:t>
      </w:r>
      <w:r>
        <w:rPr>
          <w:rFonts w:hint="eastAsia" w:cs="Times New Roman"/>
          <w:sz w:val="32"/>
          <w:szCs w:val="32"/>
        </w:rPr>
        <w:t>。</w:t>
      </w:r>
      <w:r>
        <w:rPr>
          <w:rFonts w:cs="Times New Roman"/>
          <w:sz w:val="32"/>
          <w:szCs w:val="32"/>
        </w:rPr>
        <w:t>全面推进医养结合，支持医疗机构开展养老服务，扩大医保在养老领域医疗服务的支付范围。</w:t>
      </w:r>
      <w:r>
        <w:rPr>
          <w:rFonts w:hint="eastAsia" w:cs="Times New Roman"/>
          <w:sz w:val="32"/>
          <w:szCs w:val="32"/>
        </w:rPr>
        <w:t>进一步完善养老服务政策，合理布局养老基础设施，</w:t>
      </w:r>
      <w:r>
        <w:rPr>
          <w:rFonts w:hint="eastAsia" w:cs="Times New Roman"/>
          <w:sz w:val="32"/>
          <w:szCs w:val="32"/>
          <w:lang w:eastAsia="zh-CN"/>
        </w:rPr>
        <w:t>培育引进专业养老服务团队，</w:t>
      </w:r>
      <w:r>
        <w:rPr>
          <w:rFonts w:hint="eastAsia" w:cs="Times New Roman"/>
          <w:sz w:val="32"/>
          <w:szCs w:val="32"/>
        </w:rPr>
        <w:t>打造“十五分钟</w:t>
      </w:r>
      <w:r>
        <w:rPr>
          <w:rFonts w:cs="Times New Roman"/>
          <w:sz w:val="32"/>
          <w:szCs w:val="32"/>
        </w:rPr>
        <w:t>养老服务</w:t>
      </w:r>
      <w:r>
        <w:rPr>
          <w:rFonts w:hint="eastAsia" w:cs="Times New Roman"/>
          <w:sz w:val="32"/>
          <w:szCs w:val="32"/>
        </w:rPr>
        <w:t>圈”，</w:t>
      </w:r>
      <w:r>
        <w:rPr>
          <w:rFonts w:cs="Times New Roman"/>
          <w:sz w:val="32"/>
          <w:szCs w:val="32"/>
        </w:rPr>
        <w:t>养老床位数保持 55 张</w:t>
      </w:r>
      <w:r>
        <w:rPr>
          <w:rFonts w:hint="eastAsia" w:cs="Times New Roman"/>
          <w:sz w:val="32"/>
          <w:szCs w:val="32"/>
        </w:rPr>
        <w:t>/</w:t>
      </w:r>
      <w:r>
        <w:rPr>
          <w:rFonts w:cs="Times New Roman"/>
          <w:sz w:val="32"/>
          <w:szCs w:val="32"/>
        </w:rPr>
        <w:t>千</w:t>
      </w:r>
      <w:r>
        <w:rPr>
          <w:rFonts w:hint="eastAsia" w:cs="Times New Roman"/>
          <w:sz w:val="32"/>
          <w:szCs w:val="32"/>
        </w:rPr>
        <w:t>人</w:t>
      </w:r>
      <w:r>
        <w:rPr>
          <w:rFonts w:cs="Times New Roman"/>
          <w:sz w:val="32"/>
          <w:szCs w:val="32"/>
        </w:rPr>
        <w:t>以上。鼓励农村发展集中养老，逐步提升农村幸福院建设</w:t>
      </w:r>
      <w:r>
        <w:rPr>
          <w:rFonts w:hint="eastAsia" w:cs="Times New Roman"/>
          <w:sz w:val="32"/>
          <w:szCs w:val="32"/>
          <w:lang w:eastAsia="zh-CN"/>
        </w:rPr>
        <w:t>和利用</w:t>
      </w:r>
      <w:r>
        <w:rPr>
          <w:rFonts w:hint="eastAsia" w:cs="Times New Roman"/>
          <w:sz w:val="32"/>
          <w:szCs w:val="32"/>
        </w:rPr>
        <w:t>水平</w:t>
      </w:r>
      <w:r>
        <w:rPr>
          <w:rFonts w:cs="Times New Roman"/>
          <w:sz w:val="32"/>
          <w:szCs w:val="32"/>
        </w:rPr>
        <w:t>，“十四五”期间</w:t>
      </w:r>
      <w:r>
        <w:rPr>
          <w:rFonts w:hint="eastAsia" w:cs="Times New Roman"/>
          <w:sz w:val="32"/>
          <w:szCs w:val="32"/>
        </w:rPr>
        <w:t>，</w:t>
      </w:r>
      <w:r>
        <w:rPr>
          <w:rFonts w:cs="Times New Roman"/>
          <w:sz w:val="32"/>
          <w:szCs w:val="32"/>
        </w:rPr>
        <w:t>农村互助幸福院覆盖率达到</w:t>
      </w:r>
      <w:r>
        <w:rPr>
          <w:rFonts w:hint="eastAsia" w:cs="Times New Roman"/>
          <w:sz w:val="32"/>
          <w:szCs w:val="32"/>
          <w:lang w:val="en-US" w:eastAsia="zh-CN"/>
        </w:rPr>
        <w:t>8</w:t>
      </w:r>
      <w:r>
        <w:rPr>
          <w:rFonts w:cs="Times New Roman"/>
          <w:sz w:val="32"/>
          <w:szCs w:val="32"/>
        </w:rPr>
        <w:t>0%</w:t>
      </w:r>
      <w:r>
        <w:rPr>
          <w:rFonts w:hint="eastAsia" w:cs="Times New Roman"/>
          <w:sz w:val="32"/>
          <w:szCs w:val="32"/>
          <w:lang w:eastAsia="zh-CN"/>
        </w:rPr>
        <w:t>以上</w:t>
      </w:r>
      <w:r>
        <w:rPr>
          <w:rFonts w:hint="eastAsia" w:cs="Times New Roman"/>
          <w:sz w:val="32"/>
          <w:szCs w:val="32"/>
        </w:rPr>
        <w:t>。</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10" w:name="_Toc17188"/>
      <w:r>
        <w:rPr>
          <w:rFonts w:hint="eastAsia" w:ascii="楷体_GB2312" w:hAnsi="楷体_GB2312" w:eastAsia="楷体_GB2312" w:cs="楷体_GB2312"/>
          <w:bCs/>
          <w:sz w:val="32"/>
          <w:szCs w:val="32"/>
        </w:rPr>
        <w:t>第五节 健全多层次社保体系</w:t>
      </w:r>
      <w:bookmarkEnd w:id="110"/>
    </w:p>
    <w:p>
      <w:pPr>
        <w:spacing w:line="576" w:lineRule="exact"/>
        <w:ind w:firstLine="640"/>
        <w:jc w:val="both"/>
        <w:rPr>
          <w:rFonts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hint="eastAsia" w:cs="Times New Roman"/>
          <w:sz w:val="32"/>
          <w:szCs w:val="32"/>
        </w:rPr>
        <w:t>实施</w:t>
      </w:r>
      <w:r>
        <w:rPr>
          <w:rFonts w:cs="Times New Roman"/>
          <w:sz w:val="32"/>
          <w:szCs w:val="32"/>
        </w:rPr>
        <w:t>城乡统筹、可持续的基本养老和医疗保险制度，完善大病保险制度和异地就医结算机制，持续开展职工医保、居民医保、大病保险和医疗救助“一站式”</w:t>
      </w:r>
      <w:r>
        <w:rPr>
          <w:rFonts w:hint="eastAsia" w:cs="Times New Roman"/>
          <w:sz w:val="32"/>
          <w:szCs w:val="32"/>
        </w:rPr>
        <w:t>服务。</w:t>
      </w:r>
      <w:r>
        <w:rPr>
          <w:rFonts w:cs="Times New Roman"/>
          <w:sz w:val="32"/>
          <w:szCs w:val="32"/>
        </w:rPr>
        <w:t>完善多元化社会保险体系，将外来务工、灵活就业人员等纳入社保覆盖范围。完善职业年金制度，扩大企业年金覆盖面。健全信息共享机制，推动异地居住退休人员养老保险</w:t>
      </w:r>
      <w:r>
        <w:rPr>
          <w:rFonts w:hint="eastAsia" w:cs="Times New Roman"/>
          <w:sz w:val="32"/>
          <w:szCs w:val="32"/>
        </w:rPr>
        <w:t>、</w:t>
      </w:r>
      <w:r>
        <w:rPr>
          <w:rFonts w:cs="Times New Roman"/>
          <w:sz w:val="32"/>
          <w:szCs w:val="32"/>
        </w:rPr>
        <w:t>工伤认定政策统一、结果互认</w:t>
      </w:r>
      <w:r>
        <w:rPr>
          <w:rFonts w:hint="eastAsia" w:cs="Times New Roman"/>
          <w:sz w:val="32"/>
          <w:szCs w:val="32"/>
        </w:rPr>
        <w:t>。</w:t>
      </w:r>
      <w:r>
        <w:rPr>
          <w:rFonts w:cs="Times New Roman"/>
          <w:sz w:val="32"/>
          <w:szCs w:val="32"/>
        </w:rPr>
        <w:t>提高住房公积金统筹层次。保障妇女儿童</w:t>
      </w:r>
      <w:r>
        <w:rPr>
          <w:rFonts w:hint="eastAsia" w:cs="Times New Roman"/>
          <w:sz w:val="32"/>
          <w:szCs w:val="32"/>
        </w:rPr>
        <w:t>和</w:t>
      </w:r>
      <w:r>
        <w:rPr>
          <w:rFonts w:cs="Times New Roman"/>
          <w:sz w:val="32"/>
          <w:szCs w:val="32"/>
        </w:rPr>
        <w:t>特殊人群合法权益，建设未成年人救助保护中心</w:t>
      </w:r>
      <w:r>
        <w:rPr>
          <w:rFonts w:hint="eastAsia" w:cs="Times New Roman"/>
          <w:sz w:val="32"/>
          <w:szCs w:val="32"/>
        </w:rPr>
        <w:t>。强化</w:t>
      </w:r>
      <w:r>
        <w:rPr>
          <w:rFonts w:cs="Times New Roman"/>
          <w:sz w:val="32"/>
          <w:szCs w:val="32"/>
        </w:rPr>
        <w:t>低保、失独、残疾人、高龄老人等特殊困难群体</w:t>
      </w:r>
      <w:r>
        <w:rPr>
          <w:rFonts w:hint="eastAsia" w:cs="Times New Roman"/>
          <w:sz w:val="32"/>
          <w:szCs w:val="32"/>
        </w:rPr>
        <w:t>兜底</w:t>
      </w:r>
      <w:r>
        <w:rPr>
          <w:rFonts w:cs="Times New Roman"/>
          <w:sz w:val="32"/>
          <w:szCs w:val="32"/>
        </w:rPr>
        <w:t>保障</w:t>
      </w:r>
      <w:r>
        <w:rPr>
          <w:rFonts w:hint="eastAsia" w:cs="Times New Roman"/>
          <w:sz w:val="32"/>
          <w:szCs w:val="32"/>
        </w:rPr>
        <w:t>。</w:t>
      </w:r>
    </w:p>
    <w:p>
      <w:pPr>
        <w:pStyle w:val="3"/>
        <w:ind w:left="0" w:firstLine="0" w:firstLineChars="0"/>
        <w:jc w:val="center"/>
        <w:rPr>
          <w:rFonts w:hint="eastAsia" w:ascii="Times New Roman" w:hAnsi="Times New Roman" w:eastAsia="方正小标宋简体" w:cs="Times New Roman"/>
          <w:w w:val="82"/>
          <w:sz w:val="44"/>
          <w:szCs w:val="44"/>
          <w:lang w:val="en-US" w:eastAsia="zh-CN"/>
        </w:rPr>
      </w:pPr>
      <w:bookmarkStart w:id="111" w:name="_Toc26951"/>
      <w:r>
        <w:rPr>
          <w:rFonts w:ascii="Times New Roman" w:hAnsi="Times New Roman" w:eastAsia="方正小标宋简体" w:cs="Times New Roman"/>
          <w:w w:val="82"/>
          <w:sz w:val="44"/>
          <w:szCs w:val="44"/>
        </w:rPr>
        <w:t>第十三章 建设智慧神木，</w:t>
      </w:r>
      <w:r>
        <w:rPr>
          <w:rFonts w:hint="eastAsia" w:ascii="Times New Roman" w:hAnsi="Times New Roman" w:eastAsia="方正小标宋简体" w:cs="Times New Roman"/>
          <w:w w:val="82"/>
          <w:sz w:val="44"/>
          <w:szCs w:val="44"/>
          <w:lang w:val="en-US" w:eastAsia="zh-CN"/>
        </w:rPr>
        <w:t>实现社会</w:t>
      </w:r>
      <w:r>
        <w:rPr>
          <w:rFonts w:ascii="Times New Roman" w:hAnsi="Times New Roman" w:eastAsia="方正小标宋简体" w:cs="Times New Roman"/>
          <w:w w:val="82"/>
          <w:sz w:val="44"/>
          <w:szCs w:val="44"/>
        </w:rPr>
        <w:t>治理</w:t>
      </w:r>
      <w:r>
        <w:rPr>
          <w:rFonts w:hint="eastAsia" w:ascii="Times New Roman" w:hAnsi="Times New Roman" w:eastAsia="方正小标宋简体" w:cs="Times New Roman"/>
          <w:w w:val="82"/>
          <w:sz w:val="44"/>
          <w:szCs w:val="44"/>
          <w:lang w:val="en-US" w:eastAsia="zh-CN"/>
        </w:rPr>
        <w:t>现代化</w:t>
      </w:r>
      <w:r>
        <w:rPr>
          <w:rFonts w:ascii="Times New Roman" w:hAnsi="Times New Roman" w:eastAsia="方正小标宋简体" w:cs="Times New Roman"/>
          <w:w w:val="82"/>
          <w:sz w:val="44"/>
          <w:szCs w:val="44"/>
        </w:rPr>
        <w:t>新</w:t>
      </w:r>
      <w:r>
        <w:rPr>
          <w:rFonts w:hint="eastAsia" w:ascii="Times New Roman" w:hAnsi="Times New Roman" w:eastAsia="方正小标宋简体" w:cs="Times New Roman"/>
          <w:w w:val="82"/>
          <w:sz w:val="44"/>
          <w:szCs w:val="44"/>
          <w:lang w:val="en-US" w:eastAsia="zh-CN"/>
        </w:rPr>
        <w:t>提升</w:t>
      </w:r>
      <w:bookmarkEnd w:id="111"/>
    </w:p>
    <w:p>
      <w:pPr>
        <w:pStyle w:val="10"/>
        <w:ind w:firstLine="640"/>
        <w:jc w:val="both"/>
        <w:rPr>
          <w:rFonts w:ascii="仿宋_GB2312" w:hAnsi="仿宋_GB2312" w:cs="仿宋_GB2312"/>
          <w:color w:val="000000"/>
          <w:sz w:val="32"/>
          <w:szCs w:val="32"/>
        </w:rPr>
      </w:pPr>
      <w:r>
        <w:rPr>
          <w:rFonts w:hint="eastAsia" w:ascii="仿宋_GB2312" w:hAnsi="仿宋_GB2312" w:cs="仿宋_GB2312"/>
          <w:color w:val="000000"/>
          <w:sz w:val="32"/>
          <w:szCs w:val="32"/>
          <w:lang w:val="en-US" w:eastAsia="zh-CN"/>
        </w:rPr>
        <w:t>按照“善政、惠民、兴业”总体要求，健全自治、法治、德治相结合的城乡治理体系，整合提升数字化治理水平，</w:t>
      </w:r>
      <w:r>
        <w:rPr>
          <w:rFonts w:hint="eastAsia" w:ascii="仿宋_GB2312" w:hAnsi="仿宋_GB2312" w:cs="仿宋_GB2312"/>
          <w:color w:val="000000"/>
          <w:sz w:val="32"/>
          <w:szCs w:val="32"/>
        </w:rPr>
        <w:t>有效防范和化解各类风险。</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rPr>
      </w:pPr>
      <w:bookmarkStart w:id="112" w:name="_Toc3466"/>
      <w:r>
        <w:rPr>
          <w:rFonts w:hint="eastAsia" w:ascii="楷体_GB2312" w:hAnsi="楷体_GB2312" w:eastAsia="楷体_GB2312" w:cs="楷体_GB2312"/>
          <w:bCs/>
          <w:sz w:val="32"/>
          <w:szCs w:val="32"/>
        </w:rPr>
        <w:t>第一节 加快智慧神木建设</w:t>
      </w:r>
      <w:bookmarkEnd w:id="112"/>
    </w:p>
    <w:p>
      <w:pPr>
        <w:keepNext w:val="0"/>
        <w:keepLines w:val="0"/>
        <w:pageBreakBefore w:val="0"/>
        <w:widowControl/>
        <w:kinsoku/>
        <w:wordWrap/>
        <w:overflowPunct/>
        <w:topLinePunct w:val="0"/>
        <w:autoSpaceDE/>
        <w:autoSpaceDN/>
        <w:bidi w:val="0"/>
        <w:adjustRightInd w:val="0"/>
        <w:snapToGrid w:val="0"/>
        <w:spacing w:line="600" w:lineRule="exact"/>
        <w:ind w:firstLine="640"/>
        <w:jc w:val="both"/>
        <w:textAlignment w:val="auto"/>
        <w:rPr>
          <w:rFonts w:cs="Times New Roman"/>
          <w:sz w:val="32"/>
          <w:szCs w:val="32"/>
        </w:rPr>
      </w:pPr>
      <w:r>
        <w:rPr>
          <w:rFonts w:cs="Times New Roman"/>
          <w:sz w:val="32"/>
          <w:szCs w:val="32"/>
        </w:rPr>
        <w:t>坚持以体制、机制、技术和管理创新为动力，将先进信息化技术广泛应用于经济发展和园区建设、城市运行和管理、公共服务及社会生活等各个领域，创建创新活跃的经济环境、宜居便利的人居环境、廉洁高效的政务环境。</w:t>
      </w:r>
    </w:p>
    <w:p>
      <w:pPr>
        <w:keepNext w:val="0"/>
        <w:keepLines w:val="0"/>
        <w:pageBreakBefore w:val="0"/>
        <w:widowControl/>
        <w:kinsoku/>
        <w:wordWrap/>
        <w:overflowPunct/>
        <w:topLinePunct w:val="0"/>
        <w:autoSpaceDE/>
        <w:autoSpaceDN/>
        <w:bidi w:val="0"/>
        <w:adjustRightInd w:val="0"/>
        <w:snapToGrid w:val="0"/>
        <w:spacing w:line="600" w:lineRule="exact"/>
        <w:ind w:firstLine="640"/>
        <w:jc w:val="both"/>
        <w:textAlignment w:val="auto"/>
        <w:rPr>
          <w:rFonts w:cs="Times New Roman"/>
          <w:sz w:val="32"/>
          <w:szCs w:val="32"/>
        </w:rPr>
      </w:pPr>
      <w:r>
        <w:rPr>
          <w:rFonts w:cs="Times New Roman"/>
          <w:b/>
          <w:bCs/>
          <w:sz w:val="32"/>
          <w:szCs w:val="32"/>
        </w:rPr>
        <w:t>创建惠民便捷的智慧城市。</w:t>
      </w:r>
      <w:r>
        <w:rPr>
          <w:rFonts w:cs="Times New Roman"/>
          <w:sz w:val="32"/>
          <w:szCs w:val="32"/>
        </w:rPr>
        <w:t>充分利用云计算、物联网、大数据、区块链等先进技术，构建“1314”智慧城市框架体系</w:t>
      </w:r>
      <w:r>
        <w:rPr>
          <w:rStyle w:val="37"/>
          <w:rFonts w:cs="Times New Roman"/>
          <w:sz w:val="32"/>
          <w:szCs w:val="32"/>
        </w:rPr>
        <w:footnoteReference w:id="21"/>
      </w:r>
      <w:r>
        <w:rPr>
          <w:rFonts w:cs="Times New Roman"/>
          <w:sz w:val="32"/>
          <w:szCs w:val="32"/>
        </w:rPr>
        <w:t>。推动协同办公、智慧信用和智慧</w:t>
      </w:r>
      <w:r>
        <w:rPr>
          <w:rFonts w:hint="eastAsia" w:cs="Times New Roman"/>
          <w:sz w:val="32"/>
          <w:szCs w:val="32"/>
        </w:rPr>
        <w:t>文旅</w:t>
      </w:r>
      <w:r>
        <w:rPr>
          <w:rFonts w:cs="Times New Roman"/>
          <w:sz w:val="32"/>
          <w:szCs w:val="32"/>
        </w:rPr>
        <w:t>、智慧应急、</w:t>
      </w:r>
      <w:r>
        <w:rPr>
          <w:rFonts w:hint="eastAsia" w:cs="Times New Roman"/>
          <w:sz w:val="32"/>
          <w:szCs w:val="32"/>
        </w:rPr>
        <w:t>智慧能源、</w:t>
      </w:r>
      <w:r>
        <w:rPr>
          <w:rFonts w:hint="eastAsia" w:cs="Times New Roman"/>
          <w:sz w:val="32"/>
          <w:szCs w:val="32"/>
          <w:lang w:val="en-US" w:eastAsia="zh-CN"/>
        </w:rPr>
        <w:t>智慧环保、</w:t>
      </w:r>
      <w:r>
        <w:rPr>
          <w:rFonts w:cs="Times New Roman"/>
          <w:sz w:val="32"/>
          <w:szCs w:val="32"/>
        </w:rPr>
        <w:t>智慧医疗建设，实现城市管理精细化、科学化与</w:t>
      </w:r>
      <w:r>
        <w:rPr>
          <w:rFonts w:hint="eastAsia" w:cs="Times New Roman"/>
          <w:sz w:val="32"/>
          <w:szCs w:val="32"/>
          <w:lang w:eastAsia="zh-CN"/>
        </w:rPr>
        <w:t>人性</w:t>
      </w:r>
      <w:r>
        <w:rPr>
          <w:rFonts w:cs="Times New Roman"/>
          <w:sz w:val="32"/>
          <w:szCs w:val="32"/>
        </w:rPr>
        <w:t>化，让老百姓共享智慧城市建设成果。</w:t>
      </w:r>
    </w:p>
    <w:p>
      <w:pPr>
        <w:keepNext w:val="0"/>
        <w:keepLines w:val="0"/>
        <w:pageBreakBefore w:val="0"/>
        <w:widowControl/>
        <w:kinsoku/>
        <w:wordWrap/>
        <w:overflowPunct/>
        <w:topLinePunct w:val="0"/>
        <w:autoSpaceDE/>
        <w:autoSpaceDN/>
        <w:bidi w:val="0"/>
        <w:adjustRightInd w:val="0"/>
        <w:snapToGrid w:val="0"/>
        <w:spacing w:line="600" w:lineRule="exact"/>
        <w:ind w:firstLine="640"/>
        <w:jc w:val="both"/>
        <w:textAlignment w:val="auto"/>
        <w:rPr>
          <w:rFonts w:hint="eastAsia" w:cs="Times New Roman"/>
          <w:sz w:val="32"/>
          <w:szCs w:val="32"/>
        </w:rPr>
      </w:pPr>
      <w:r>
        <w:rPr>
          <w:rFonts w:cs="Times New Roman"/>
          <w:b/>
          <w:bCs/>
          <w:sz w:val="32"/>
          <w:szCs w:val="32"/>
        </w:rPr>
        <w:t>建</w:t>
      </w:r>
      <w:r>
        <w:rPr>
          <w:rFonts w:hint="eastAsia" w:cs="Times New Roman"/>
          <w:b/>
          <w:bCs/>
          <w:sz w:val="32"/>
          <w:szCs w:val="32"/>
        </w:rPr>
        <w:t>设</w:t>
      </w:r>
      <w:r>
        <w:rPr>
          <w:rFonts w:cs="Times New Roman"/>
          <w:b/>
          <w:bCs/>
          <w:sz w:val="32"/>
          <w:szCs w:val="32"/>
        </w:rPr>
        <w:t>一体高效的智慧园区。</w:t>
      </w:r>
      <w:r>
        <w:rPr>
          <w:rFonts w:cs="Times New Roman"/>
          <w:sz w:val="32"/>
          <w:szCs w:val="32"/>
        </w:rPr>
        <w:t>在三大</w:t>
      </w:r>
      <w:r>
        <w:rPr>
          <w:rFonts w:hint="eastAsia" w:cs="Times New Roman"/>
          <w:sz w:val="32"/>
          <w:szCs w:val="32"/>
        </w:rPr>
        <w:t>产业</w:t>
      </w:r>
      <w:r>
        <w:rPr>
          <w:rFonts w:cs="Times New Roman"/>
          <w:sz w:val="32"/>
          <w:szCs w:val="32"/>
        </w:rPr>
        <w:t>园区打造工业互联网国家级创新体系，提高园区服务水平，实现园区精细</w:t>
      </w:r>
      <w:r>
        <w:rPr>
          <w:rFonts w:hint="eastAsia" w:cs="Times New Roman"/>
          <w:sz w:val="32"/>
          <w:szCs w:val="32"/>
        </w:rPr>
        <w:t>化</w:t>
      </w:r>
      <w:r>
        <w:rPr>
          <w:rFonts w:cs="Times New Roman"/>
          <w:sz w:val="32"/>
          <w:szCs w:val="32"/>
        </w:rPr>
        <w:t>管理。全面铺开产业云建设，推进企业上云、用云常态化，形成紧密联系</w:t>
      </w:r>
      <w:r>
        <w:rPr>
          <w:rFonts w:hint="eastAsia" w:cs="Times New Roman"/>
          <w:sz w:val="32"/>
          <w:szCs w:val="32"/>
        </w:rPr>
        <w:t>、</w:t>
      </w:r>
      <w:r>
        <w:rPr>
          <w:rFonts w:cs="Times New Roman"/>
          <w:sz w:val="32"/>
          <w:szCs w:val="32"/>
        </w:rPr>
        <w:t>高效</w:t>
      </w:r>
      <w:r>
        <w:rPr>
          <w:rFonts w:hint="eastAsia" w:cs="Times New Roman"/>
          <w:sz w:val="32"/>
          <w:szCs w:val="32"/>
        </w:rPr>
        <w:t>互动</w:t>
      </w:r>
      <w:r>
        <w:rPr>
          <w:rFonts w:cs="Times New Roman"/>
          <w:sz w:val="32"/>
          <w:szCs w:val="32"/>
        </w:rPr>
        <w:t>的协同</w:t>
      </w:r>
      <w:r>
        <w:rPr>
          <w:rFonts w:hint="eastAsia" w:cs="Times New Roman"/>
          <w:sz w:val="32"/>
          <w:szCs w:val="32"/>
        </w:rPr>
        <w:t>体</w:t>
      </w:r>
      <w:r>
        <w:rPr>
          <w:rFonts w:cs="Times New Roman"/>
          <w:sz w:val="32"/>
          <w:szCs w:val="32"/>
        </w:rPr>
        <w:t>。鼓励和支持</w:t>
      </w:r>
      <w:r>
        <w:rPr>
          <w:rFonts w:hint="eastAsia" w:cs="Times New Roman"/>
          <w:sz w:val="32"/>
          <w:szCs w:val="32"/>
        </w:rPr>
        <w:t>园区企业融入智慧园区建设格局，</w:t>
      </w:r>
      <w:r>
        <w:rPr>
          <w:rFonts w:cs="Times New Roman"/>
          <w:sz w:val="32"/>
          <w:szCs w:val="32"/>
        </w:rPr>
        <w:t>率先推进以5G 和工业互联网为基础</w:t>
      </w:r>
      <w:r>
        <w:rPr>
          <w:rFonts w:hint="eastAsia" w:cs="Times New Roman"/>
          <w:sz w:val="32"/>
          <w:szCs w:val="32"/>
        </w:rPr>
        <w:t>，以</w:t>
      </w:r>
      <w:r>
        <w:rPr>
          <w:rFonts w:cs="Times New Roman"/>
          <w:sz w:val="32"/>
          <w:szCs w:val="32"/>
        </w:rPr>
        <w:t>云计算、大数据、物联网</w:t>
      </w:r>
      <w:r>
        <w:rPr>
          <w:rFonts w:hint="eastAsia" w:cs="Times New Roman"/>
          <w:sz w:val="32"/>
          <w:szCs w:val="32"/>
        </w:rPr>
        <w:t>为依托的</w:t>
      </w:r>
      <w:r>
        <w:rPr>
          <w:rFonts w:cs="Times New Roman"/>
          <w:sz w:val="32"/>
          <w:szCs w:val="32"/>
        </w:rPr>
        <w:t>云网一体化项目</w:t>
      </w:r>
      <w:r>
        <w:rPr>
          <w:rFonts w:hint="eastAsia" w:cs="Times New Roman"/>
          <w:sz w:val="32"/>
          <w:szCs w:val="32"/>
        </w:rPr>
        <w:t>，推动智慧园区建设扩容提质增效。</w:t>
      </w:r>
    </w:p>
    <w:p>
      <w:pPr>
        <w:keepNext w:val="0"/>
        <w:keepLines w:val="0"/>
        <w:pageBreakBefore w:val="0"/>
        <w:widowControl/>
        <w:kinsoku/>
        <w:wordWrap/>
        <w:overflowPunct/>
        <w:topLinePunct w:val="0"/>
        <w:autoSpaceDE/>
        <w:autoSpaceDN/>
        <w:bidi w:val="0"/>
        <w:adjustRightInd w:val="0"/>
        <w:snapToGrid w:val="0"/>
        <w:spacing w:line="560" w:lineRule="exact"/>
        <w:ind w:firstLine="640"/>
        <w:jc w:val="both"/>
        <w:textAlignment w:val="auto"/>
        <w:rPr>
          <w:rFonts w:cs="Times New Roman"/>
          <w:kern w:val="2"/>
          <w:sz w:val="32"/>
          <w:szCs w:val="32"/>
        </w:rPr>
      </w:pPr>
      <w:r>
        <w:rPr>
          <w:rFonts w:cs="Times New Roman"/>
          <w:b/>
          <w:bCs/>
          <w:sz w:val="32"/>
          <w:szCs w:val="32"/>
        </w:rPr>
        <w:t>打造绿色安全智慧矿区。</w:t>
      </w:r>
      <w:r>
        <w:rPr>
          <w:rFonts w:cs="Times New Roman"/>
          <w:kern w:val="2"/>
          <w:sz w:val="32"/>
          <w:szCs w:val="32"/>
        </w:rPr>
        <w:t>按照“绿色开发、节约集约、智能发展”思路，</w:t>
      </w:r>
      <w:r>
        <w:rPr>
          <w:rFonts w:hint="eastAsia" w:cs="Times New Roman"/>
          <w:kern w:val="2"/>
          <w:sz w:val="32"/>
          <w:szCs w:val="32"/>
        </w:rPr>
        <w:t>建设小保当、哈拉沟等一批智慧矿区。</w:t>
      </w:r>
      <w:r>
        <w:rPr>
          <w:rFonts w:cs="Times New Roman"/>
          <w:kern w:val="2"/>
          <w:sz w:val="32"/>
          <w:szCs w:val="32"/>
        </w:rPr>
        <w:t>推进煤炭工业互联网平台一体化协同，形成矿区安全态势感知与信息共享协同“大脑”。依托人工智能，采用先进的“云、边、端”一体架构，实现自动化、高精度、无人值守过程分析与管控。</w:t>
      </w:r>
    </w:p>
    <w:tbl>
      <w:tblPr>
        <w:tblStyle w:val="24"/>
        <w:tblW w:w="8195" w:type="dxa"/>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95" w:type="dxa"/>
          </w:tcPr>
          <w:p>
            <w:pPr>
              <w:spacing w:line="440" w:lineRule="exact"/>
              <w:ind w:left="0" w:leftChars="0" w:firstLine="0" w:firstLineChars="0"/>
              <w:rPr>
                <w:rFonts w:hint="eastAsia" w:ascii="黑体" w:hAnsi="黑体" w:eastAsia="黑体" w:cs="黑体"/>
                <w:b w:val="0"/>
                <w:bCs/>
                <w:kern w:val="36"/>
                <w:sz w:val="24"/>
                <w:szCs w:val="24"/>
                <w:lang w:val="en-US" w:eastAsia="zh-CN"/>
              </w:rPr>
            </w:pPr>
            <w:r>
              <w:rPr>
                <w:rFonts w:hint="eastAsia" w:ascii="黑体" w:hAnsi="黑体" w:eastAsia="黑体" w:cs="黑体"/>
                <w:b w:val="0"/>
                <w:bCs/>
                <w:kern w:val="36"/>
                <w:sz w:val="24"/>
                <w:szCs w:val="24"/>
              </w:rPr>
              <w:t>专栏</w:t>
            </w:r>
            <w:r>
              <w:rPr>
                <w:rFonts w:hint="eastAsia" w:ascii="黑体" w:hAnsi="黑体" w:eastAsia="黑体" w:cs="黑体"/>
                <w:b w:val="0"/>
                <w:bCs/>
                <w:kern w:val="36"/>
                <w:sz w:val="24"/>
                <w:szCs w:val="24"/>
                <w:lang w:val="en-US" w:eastAsia="zh-CN"/>
              </w:rPr>
              <w:t>23：</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黑体" w:hAnsi="黑体" w:eastAsia="黑体" w:cs="黑体"/>
                <w:b w:val="0"/>
                <w:bCs w:val="0"/>
                <w:szCs w:val="28"/>
                <w:lang w:val="en-US" w:eastAsia="zh-CN"/>
              </w:rPr>
            </w:pPr>
            <w:r>
              <w:rPr>
                <w:rFonts w:hint="eastAsia" w:ascii="黑体" w:hAnsi="黑体" w:eastAsia="黑体" w:cs="黑体"/>
                <w:b w:val="0"/>
                <w:bCs w:val="0"/>
                <w:kern w:val="36"/>
                <w:szCs w:val="28"/>
              </w:rPr>
              <w:t>“智慧神木”</w:t>
            </w:r>
            <w:r>
              <w:rPr>
                <w:rFonts w:hint="eastAsia" w:ascii="黑体" w:hAnsi="黑体" w:eastAsia="黑体" w:cs="黑体"/>
                <w:b w:val="0"/>
                <w:bCs w:val="0"/>
                <w:kern w:val="36"/>
                <w:szCs w:val="28"/>
                <w:lang w:val="en-US" w:eastAsia="zh-CN"/>
              </w:rPr>
              <w:t>重大工程</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sz w:val="24"/>
                <w:szCs w:val="24"/>
              </w:rPr>
              <w:t>四大基础数据库：</w:t>
            </w:r>
            <w:r>
              <w:rPr>
                <w:rFonts w:hint="eastAsia" w:ascii="仿宋_GB2312" w:hAnsi="仿宋_GB2312" w:eastAsia="仿宋_GB2312" w:cs="仿宋_GB2312"/>
                <w:sz w:val="24"/>
                <w:szCs w:val="24"/>
              </w:rPr>
              <w:t>建设完善人口、法人、宏观经济、基础地理等四大基础数据库</w:t>
            </w:r>
            <w:r>
              <w:rPr>
                <w:rFonts w:hint="eastAsia" w:ascii="仿宋_GB2312" w:hAnsi="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b/>
                <w:sz w:val="24"/>
                <w:szCs w:val="24"/>
              </w:rPr>
            </w:pPr>
            <w:r>
              <w:rPr>
                <w:rFonts w:hint="eastAsia" w:ascii="楷体_GB2312" w:hAnsi="楷体_GB2312" w:eastAsia="楷体_GB2312" w:cs="楷体_GB2312"/>
                <w:b/>
                <w:sz w:val="24"/>
                <w:szCs w:val="24"/>
              </w:rPr>
              <w:t>智慧城管：</w:t>
            </w:r>
            <w:r>
              <w:rPr>
                <w:rFonts w:hint="eastAsia" w:ascii="仿宋_GB2312" w:hAnsi="仿宋_GB2312" w:eastAsia="仿宋_GB2312" w:cs="仿宋_GB2312"/>
                <w:sz w:val="24"/>
                <w:szCs w:val="24"/>
              </w:rPr>
              <w:t>在神木市数字城管9大标准基础上扩展建设移动管理、井盖监控预警、工地综合监管等子系统，通过新增视频点位、多部门视频融合和移动执法终端等手段，提高多部门联动指挥、案件处置和综合执法能力</w:t>
            </w:r>
            <w:r>
              <w:rPr>
                <w:rFonts w:hint="eastAsia" w:ascii="仿宋_GB2312" w:hAnsi="仿宋_GB2312" w:cs="仿宋_GB2312"/>
                <w:sz w:val="24"/>
                <w:szCs w:val="24"/>
                <w:lang w:eastAsia="zh-CN"/>
              </w:rPr>
              <w:t>。</w:t>
            </w:r>
            <w:r>
              <w:rPr>
                <w:rFonts w:hint="eastAsia" w:ascii="仿宋_GB2312" w:hAnsi="仿宋_GB2312" w:eastAsia="仿宋_GB2312" w:cs="仿宋_GB2312"/>
                <w:b/>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sz w:val="24"/>
                <w:szCs w:val="24"/>
              </w:rPr>
              <w:t>“智慧神木”市民公共服务平台：</w:t>
            </w:r>
            <w:r>
              <w:rPr>
                <w:rFonts w:hint="eastAsia" w:ascii="仿宋_GB2312" w:hAnsi="仿宋_GB2312" w:eastAsia="仿宋_GB2312" w:cs="仿宋_GB2312"/>
                <w:sz w:val="24"/>
                <w:szCs w:val="24"/>
              </w:rPr>
              <w:t>依托智能手机、数字电视、电脑等终端设备，推动公共服务智慧化融合应用，向市民全方位提供交通出行、政务公开、医疗教育等信息服务，实现多平台服务、多技术支撑、多内容供给</w:t>
            </w:r>
            <w:r>
              <w:rPr>
                <w:rFonts w:hint="eastAsia" w:ascii="仿宋_GB2312" w:hAnsi="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36"/>
              <w:jc w:val="both"/>
              <w:textAlignment w:val="auto"/>
              <w:rPr>
                <w:rFonts w:hint="eastAsia" w:ascii="仿宋_GB2312" w:hAnsi="仿宋_GB2312" w:eastAsia="仿宋_GB2312" w:cs="仿宋_GB2312"/>
                <w:b/>
                <w:spacing w:val="-6"/>
                <w:sz w:val="24"/>
                <w:szCs w:val="24"/>
                <w:lang w:eastAsia="zh-CN"/>
              </w:rPr>
            </w:pPr>
            <w:r>
              <w:rPr>
                <w:rFonts w:hint="eastAsia" w:ascii="楷体_GB2312" w:hAnsi="楷体_GB2312" w:eastAsia="楷体_GB2312" w:cs="楷体_GB2312"/>
                <w:b/>
                <w:spacing w:val="-6"/>
                <w:sz w:val="24"/>
                <w:szCs w:val="24"/>
              </w:rPr>
              <w:t>智慧医疗：</w:t>
            </w:r>
            <w:r>
              <w:rPr>
                <w:rFonts w:hint="eastAsia" w:ascii="仿宋_GB2312" w:hAnsi="仿宋_GB2312" w:eastAsia="仿宋_GB2312" w:cs="仿宋_GB2312"/>
                <w:spacing w:val="-6"/>
                <w:sz w:val="24"/>
                <w:szCs w:val="24"/>
              </w:rPr>
              <w:t>建成一批多领域、跨学科远程会诊中心</w:t>
            </w:r>
            <w:r>
              <w:rPr>
                <w:rFonts w:hint="eastAsia" w:ascii="仿宋_GB2312" w:hAnsi="仿宋_GB2312" w:cs="仿宋_GB2312"/>
                <w:spacing w:val="-6"/>
                <w:sz w:val="24"/>
                <w:szCs w:val="24"/>
                <w:lang w:eastAsia="zh-CN"/>
              </w:rPr>
              <w:t>，</w:t>
            </w:r>
            <w:r>
              <w:rPr>
                <w:rFonts w:hint="eastAsia" w:ascii="仿宋_GB2312" w:hAnsi="仿宋_GB2312" w:eastAsia="仿宋_GB2312" w:cs="仿宋_GB2312"/>
                <w:spacing w:val="-6"/>
                <w:sz w:val="24"/>
                <w:szCs w:val="24"/>
              </w:rPr>
              <w:t>开发一批基于“互联网+”、移动通讯、智能穿戴设备等现代信息技术应用系统</w:t>
            </w:r>
            <w:r>
              <w:rPr>
                <w:rFonts w:hint="eastAsia" w:ascii="仿宋_GB2312" w:hAnsi="仿宋_GB2312" w:cs="仿宋_GB2312"/>
                <w:spacing w:val="-6"/>
                <w:sz w:val="24"/>
                <w:szCs w:val="24"/>
                <w:lang w:eastAsia="zh-CN"/>
              </w:rPr>
              <w:t>，</w:t>
            </w:r>
            <w:r>
              <w:rPr>
                <w:rFonts w:hint="eastAsia" w:ascii="仿宋_GB2312" w:hAnsi="仿宋_GB2312" w:eastAsia="仿宋_GB2312" w:cs="仿宋_GB2312"/>
                <w:spacing w:val="-6"/>
                <w:sz w:val="24"/>
                <w:szCs w:val="24"/>
              </w:rPr>
              <w:t>建立以“患者智能医疗软件”为核心的新型医疗服务模式</w:t>
            </w:r>
            <w:r>
              <w:rPr>
                <w:rFonts w:hint="eastAsia" w:ascii="仿宋_GB2312" w:hAnsi="仿宋_GB2312" w:cs="仿宋_GB2312"/>
                <w:spacing w:val="-6"/>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sz w:val="24"/>
                <w:szCs w:val="24"/>
              </w:rPr>
              <w:t>智慧教育：</w:t>
            </w:r>
            <w:r>
              <w:rPr>
                <w:rFonts w:hint="eastAsia" w:ascii="仿宋_GB2312" w:hAnsi="仿宋_GB2312" w:eastAsia="仿宋_GB2312" w:cs="仿宋_GB2312"/>
                <w:sz w:val="24"/>
                <w:szCs w:val="24"/>
              </w:rPr>
              <w:t>建设校园高速网络及智能终端，中小学全面建成“未来教室”</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完善智慧教育云平台功能，利用教育大数据开展教育监管、师生评价</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开展信息技术应用能力全员培训，全面提高教师</w:t>
            </w:r>
            <w:r>
              <w:rPr>
                <w:rFonts w:hint="eastAsia" w:ascii="仿宋_GB2312" w:hAnsi="仿宋_GB2312" w:cs="仿宋_GB2312"/>
                <w:sz w:val="24"/>
                <w:szCs w:val="24"/>
                <w:lang w:eastAsia="zh-CN"/>
              </w:rPr>
              <w:t>教学</w:t>
            </w:r>
            <w:r>
              <w:rPr>
                <w:rFonts w:hint="eastAsia" w:ascii="仿宋_GB2312" w:hAnsi="仿宋_GB2312" w:eastAsia="仿宋_GB2312" w:cs="仿宋_GB2312"/>
                <w:sz w:val="24"/>
                <w:szCs w:val="24"/>
              </w:rPr>
              <w:t>技术能力</w:t>
            </w:r>
            <w:r>
              <w:rPr>
                <w:rFonts w:hint="eastAsia" w:ascii="仿宋_GB2312" w:hAnsi="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44"/>
              <w:textAlignment w:val="auto"/>
              <w:rPr>
                <w:rFonts w:hint="eastAsia" w:ascii="仿宋_GB2312" w:hAnsi="仿宋_GB2312" w:eastAsia="仿宋_GB2312" w:cs="仿宋_GB2312"/>
                <w:spacing w:val="-4"/>
                <w:sz w:val="24"/>
                <w:szCs w:val="24"/>
              </w:rPr>
            </w:pPr>
            <w:r>
              <w:rPr>
                <w:rFonts w:hint="eastAsia" w:ascii="楷体_GB2312" w:hAnsi="楷体_GB2312" w:eastAsia="楷体_GB2312" w:cs="楷体_GB2312"/>
                <w:b/>
                <w:spacing w:val="-4"/>
                <w:sz w:val="24"/>
                <w:szCs w:val="24"/>
              </w:rPr>
              <w:t>智慧应急：</w:t>
            </w:r>
            <w:r>
              <w:rPr>
                <w:rFonts w:hint="eastAsia" w:ascii="仿宋_GB2312" w:hAnsi="仿宋_GB2312" w:eastAsia="仿宋_GB2312" w:cs="仿宋_GB2312"/>
                <w:spacing w:val="-4"/>
                <w:sz w:val="24"/>
                <w:szCs w:val="24"/>
              </w:rPr>
              <w:t>建设功能完备的应急指挥中心和安全生产风险监测预警系统，</w:t>
            </w:r>
            <w:r>
              <w:rPr>
                <w:rFonts w:hint="eastAsia" w:ascii="仿宋_GB2312" w:hAnsi="仿宋_GB2312" w:cs="仿宋_GB2312"/>
                <w:spacing w:val="-4"/>
                <w:sz w:val="24"/>
                <w:szCs w:val="24"/>
                <w:lang w:val="en-US" w:eastAsia="zh-CN"/>
              </w:rPr>
              <w:t>搭</w:t>
            </w:r>
            <w:r>
              <w:rPr>
                <w:rFonts w:hint="eastAsia" w:ascii="仿宋_GB2312" w:hAnsi="仿宋_GB2312" w:eastAsia="仿宋_GB2312" w:cs="仿宋_GB2312"/>
                <w:spacing w:val="-4"/>
                <w:sz w:val="24"/>
                <w:szCs w:val="24"/>
              </w:rPr>
              <w:t>建全市辖区内重点领域的安全生产感知网络和应急管理综合应用平台，形成灾害风险隐患排查治理、安全预防预警控制、应急指挥等三大体系</w:t>
            </w:r>
            <w:r>
              <w:rPr>
                <w:rFonts w:hint="eastAsia" w:ascii="仿宋_GB2312" w:hAnsi="仿宋_GB2312" w:cs="仿宋_GB2312"/>
                <w:spacing w:val="-4"/>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sz w:val="24"/>
                <w:szCs w:val="24"/>
              </w:rPr>
              <w:t>智慧农业：</w:t>
            </w:r>
            <w:r>
              <w:rPr>
                <w:rFonts w:hint="eastAsia" w:ascii="仿宋_GB2312" w:hAnsi="仿宋_GB2312" w:eastAsia="仿宋_GB2312" w:cs="仿宋_GB2312"/>
                <w:sz w:val="24"/>
                <w:szCs w:val="24"/>
              </w:rPr>
              <w:t>建设涵盖基础地理信息、农业业务信息、区块链等多种应用数据的数据中心，</w:t>
            </w:r>
            <w:r>
              <w:rPr>
                <w:rFonts w:hint="eastAsia" w:ascii="仿宋_GB2312" w:hAnsi="仿宋_GB2312" w:cs="仿宋_GB2312"/>
                <w:sz w:val="24"/>
                <w:szCs w:val="24"/>
                <w:lang w:val="en-US" w:eastAsia="zh-CN"/>
              </w:rPr>
              <w:t>形成</w:t>
            </w:r>
            <w:r>
              <w:rPr>
                <w:rFonts w:hint="eastAsia" w:ascii="仿宋_GB2312" w:hAnsi="仿宋_GB2312" w:eastAsia="仿宋_GB2312" w:cs="仿宋_GB2312"/>
                <w:sz w:val="24"/>
                <w:szCs w:val="24"/>
              </w:rPr>
              <w:t>信息安全可靠、系统运行稳定的智慧管理、智能生产、全程追溯的“智慧农业”体系</w:t>
            </w:r>
            <w:r>
              <w:rPr>
                <w:rFonts w:hint="eastAsia" w:ascii="仿宋_GB2312" w:hAnsi="仿宋_GB2312" w:cs="仿宋_GB2312"/>
                <w:sz w:val="24"/>
                <w:szCs w:val="24"/>
                <w:lang w:eastAsia="zh-CN"/>
              </w:rPr>
              <w:t>。实施智慧畜牧、智慧水务二期工程。</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sz w:val="24"/>
                <w:szCs w:val="24"/>
              </w:rPr>
              <w:t>智慧交通：</w:t>
            </w:r>
            <w:bookmarkStart w:id="113" w:name="OLE_LINK99"/>
            <w:bookmarkStart w:id="114" w:name="OLE_LINK101"/>
            <w:bookmarkStart w:id="115" w:name="OLE_LINK100"/>
            <w:bookmarkStart w:id="116" w:name="OLE_LINK81"/>
            <w:bookmarkStart w:id="117" w:name="OLE_LINK82"/>
            <w:r>
              <w:rPr>
                <w:rFonts w:hint="eastAsia" w:ascii="仿宋_GB2312" w:hAnsi="仿宋_GB2312" w:eastAsia="仿宋_GB2312" w:cs="仿宋_GB2312"/>
                <w:sz w:val="24"/>
                <w:szCs w:val="24"/>
              </w:rPr>
              <w:t>推进“314”工程建设</w:t>
            </w:r>
            <w:r>
              <w:rPr>
                <w:rFonts w:hint="eastAsia" w:ascii="仿宋_GB2312" w:hAnsi="仿宋_GB2312" w:eastAsia="仿宋_GB2312" w:cs="仿宋_GB2312"/>
                <w:bCs/>
                <w:sz w:val="24"/>
                <w:szCs w:val="24"/>
              </w:rPr>
              <w:t>（三网络：交通通信网、交通传感网、车联网；一中心：综合交通数据中心；四平台：交通监控平台、交通运输管理平台、交通信息服务平台、交通指挥平台)</w:t>
            </w:r>
            <w:r>
              <w:rPr>
                <w:rFonts w:hint="eastAsia" w:ascii="仿宋_GB2312" w:hAnsi="仿宋_GB2312" w:eastAsia="仿宋_GB2312" w:cs="仿宋_GB2312"/>
                <w:sz w:val="24"/>
                <w:szCs w:val="24"/>
              </w:rPr>
              <w:t>，</w:t>
            </w:r>
            <w:bookmarkEnd w:id="113"/>
            <w:bookmarkEnd w:id="114"/>
            <w:bookmarkEnd w:id="115"/>
            <w:bookmarkStart w:id="118" w:name="OLE_LINK95"/>
            <w:bookmarkStart w:id="119" w:name="OLE_LINK96"/>
            <w:r>
              <w:rPr>
                <w:rFonts w:hint="eastAsia" w:ascii="仿宋_GB2312" w:hAnsi="仿宋_GB2312" w:eastAsia="仿宋_GB2312" w:cs="仿宋_GB2312"/>
                <w:sz w:val="24"/>
                <w:szCs w:val="24"/>
              </w:rPr>
              <w:t>建成城市道路智慧交通系统</w:t>
            </w:r>
            <w:bookmarkEnd w:id="116"/>
            <w:bookmarkEnd w:id="117"/>
            <w:bookmarkEnd w:id="118"/>
            <w:bookmarkEnd w:id="119"/>
            <w:r>
              <w:rPr>
                <w:rFonts w:hint="eastAsia" w:ascii="仿宋_GB2312" w:hAnsi="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36"/>
              <w:textAlignment w:val="auto"/>
              <w:rPr>
                <w:rFonts w:hint="eastAsia" w:ascii="仿宋_GB2312" w:hAnsi="仿宋_GB2312" w:eastAsia="仿宋_GB2312" w:cs="仿宋_GB2312"/>
                <w:sz w:val="24"/>
                <w:szCs w:val="24"/>
                <w:lang w:eastAsia="zh-CN"/>
              </w:rPr>
            </w:pPr>
            <w:r>
              <w:rPr>
                <w:rFonts w:hint="eastAsia" w:ascii="楷体_GB2312" w:hAnsi="楷体_GB2312" w:eastAsia="楷体_GB2312" w:cs="楷体_GB2312"/>
                <w:b/>
                <w:spacing w:val="-6"/>
                <w:sz w:val="24"/>
                <w:szCs w:val="24"/>
              </w:rPr>
              <w:t>智慧警务：</w:t>
            </w:r>
            <w:r>
              <w:rPr>
                <w:rFonts w:hint="eastAsia" w:ascii="仿宋_GB2312" w:hAnsi="仿宋_GB2312" w:eastAsia="仿宋_GB2312" w:cs="仿宋_GB2312"/>
                <w:sz w:val="24"/>
                <w:szCs w:val="24"/>
              </w:rPr>
              <w:t>完善立体布控体系建设，积极引入社会视频资源，提升公安大数据分析能力、视频图像分析能力、社会数据资源接入能力，打造平安和谐的智慧神木</w:t>
            </w:r>
            <w:r>
              <w:rPr>
                <w:rFonts w:hint="eastAsia" w:ascii="仿宋_GB2312" w:hAnsi="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36"/>
              <w:textAlignment w:val="auto"/>
              <w:rPr>
                <w:rFonts w:hint="eastAsia" w:ascii="仿宋_GB2312" w:hAnsi="仿宋_GB2312" w:eastAsia="仿宋_GB2312" w:cs="仿宋_GB2312"/>
                <w:spacing w:val="-6"/>
                <w:sz w:val="24"/>
                <w:szCs w:val="24"/>
                <w:lang w:eastAsia="zh-CN"/>
              </w:rPr>
            </w:pPr>
            <w:r>
              <w:rPr>
                <w:rFonts w:hint="eastAsia" w:ascii="楷体_GB2312" w:hAnsi="楷体_GB2312" w:eastAsia="楷体_GB2312" w:cs="楷体_GB2312"/>
                <w:b/>
                <w:spacing w:val="-6"/>
                <w:sz w:val="24"/>
                <w:szCs w:val="24"/>
              </w:rPr>
              <w:t>智慧旅游</w:t>
            </w:r>
            <w:r>
              <w:rPr>
                <w:rFonts w:hint="eastAsia" w:ascii="楷体_GB2312" w:hAnsi="楷体_GB2312" w:eastAsia="楷体_GB2312" w:cs="楷体_GB2312"/>
                <w:spacing w:val="-6"/>
                <w:sz w:val="24"/>
                <w:szCs w:val="24"/>
              </w:rPr>
              <w:t>：</w:t>
            </w:r>
            <w:r>
              <w:rPr>
                <w:rFonts w:hint="eastAsia" w:ascii="仿宋_GB2312" w:hAnsi="仿宋_GB2312" w:eastAsia="仿宋_GB2312" w:cs="仿宋_GB2312"/>
                <w:spacing w:val="-6"/>
                <w:sz w:val="24"/>
                <w:szCs w:val="24"/>
              </w:rPr>
              <w:t>运用物联网、云计算、大数据、AR、VR等先进技术，构建集“管理、服务、营销”为一体的智慧旅游云平台</w:t>
            </w:r>
            <w:r>
              <w:rPr>
                <w:rFonts w:hint="eastAsia" w:ascii="仿宋_GB2312" w:hAnsi="仿宋_GB2312" w:cs="仿宋_GB2312"/>
                <w:spacing w:val="-6"/>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cs="Times New Roman"/>
                <w:szCs w:val="28"/>
              </w:rPr>
            </w:pPr>
            <w:r>
              <w:rPr>
                <w:rFonts w:hint="eastAsia" w:ascii="楷体_GB2312" w:hAnsi="楷体_GB2312" w:eastAsia="楷体_GB2312" w:cs="楷体_GB2312"/>
                <w:b/>
                <w:sz w:val="24"/>
                <w:szCs w:val="24"/>
              </w:rPr>
              <w:t>智慧环保：</w:t>
            </w:r>
            <w:r>
              <w:rPr>
                <w:rFonts w:hint="eastAsia" w:ascii="仿宋_GB2312" w:hAnsi="仿宋_GB2312" w:eastAsia="仿宋_GB2312" w:cs="仿宋_GB2312"/>
                <w:sz w:val="24"/>
                <w:szCs w:val="24"/>
              </w:rPr>
              <w:t>建立覆盖主城区、重点镇、工业园区污染源、空气质量和水质监测网络</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建立移动执法系统，实现覆盖环保监测、预警、处置等全流程的环保工作平台</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借助卫星遥感、无人机监测等手段定期监测采煤沉陷区生态修复动态。</w:t>
            </w:r>
          </w:p>
        </w:tc>
      </w:tr>
    </w:tbl>
    <w:p>
      <w:pPr>
        <w:pStyle w:val="44"/>
        <w:adjustRightInd/>
        <w:snapToGrid/>
        <w:spacing w:before="156" w:beforeLines="50" w:after="156" w:afterLines="50"/>
        <w:ind w:firstLine="0" w:firstLineChars="0"/>
        <w:jc w:val="center"/>
        <w:outlineLvl w:val="1"/>
        <w:rPr>
          <w:rFonts w:hint="default" w:ascii="楷体_GB2312" w:hAnsi="楷体_GB2312" w:eastAsia="楷体_GB2312" w:cs="楷体_GB2312"/>
          <w:bCs/>
          <w:sz w:val="32"/>
          <w:szCs w:val="32"/>
          <w:lang w:val="en-US" w:eastAsia="zh-CN"/>
        </w:rPr>
      </w:pPr>
      <w:bookmarkStart w:id="120" w:name="_Toc32043"/>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val="en-US" w:eastAsia="zh-CN"/>
        </w:rPr>
        <w:t>二</w:t>
      </w:r>
      <w:r>
        <w:rPr>
          <w:rFonts w:hint="eastAsia" w:ascii="楷体_GB2312" w:hAnsi="楷体_GB2312" w:eastAsia="楷体_GB2312" w:cs="楷体_GB2312"/>
          <w:bCs/>
          <w:sz w:val="32"/>
          <w:szCs w:val="32"/>
        </w:rPr>
        <w:t xml:space="preserve">节 </w:t>
      </w:r>
      <w:r>
        <w:rPr>
          <w:rFonts w:hint="eastAsia" w:ascii="楷体_GB2312" w:hAnsi="楷体_GB2312" w:eastAsia="楷体_GB2312" w:cs="楷体_GB2312"/>
          <w:bCs/>
          <w:sz w:val="32"/>
          <w:szCs w:val="32"/>
          <w:lang w:val="en-US" w:eastAsia="zh-CN"/>
        </w:rPr>
        <w:t>加强和创新社会治理</w:t>
      </w:r>
      <w:bookmarkEnd w:id="120"/>
    </w:p>
    <w:p>
      <w:pPr>
        <w:keepNext w:val="0"/>
        <w:keepLines w:val="0"/>
        <w:pageBreakBefore w:val="0"/>
        <w:widowControl/>
        <w:suppressLineNumbers w:val="0"/>
        <w:kinsoku/>
        <w:wordWrap/>
        <w:overflowPunct/>
        <w:topLinePunct w:val="0"/>
        <w:autoSpaceDE/>
        <w:autoSpaceDN/>
        <w:bidi w:val="0"/>
        <w:adjustRightInd w:val="0"/>
        <w:snapToGrid w:val="0"/>
        <w:spacing w:line="576" w:lineRule="exact"/>
        <w:jc w:val="both"/>
        <w:textAlignment w:val="auto"/>
        <w:rPr>
          <w:rFonts w:ascii="仿宋_GB2312" w:hAnsi="宋体" w:eastAsia="仿宋_GB2312" w:cs="仿宋_GB2312"/>
          <w:color w:val="000000"/>
          <w:kern w:val="0"/>
          <w:sz w:val="31"/>
          <w:szCs w:val="31"/>
          <w:lang w:val="en-US" w:eastAsia="zh-CN" w:bidi="ar"/>
        </w:rPr>
      </w:pPr>
      <w:r>
        <w:rPr>
          <w:rFonts w:hint="eastAsia" w:ascii="仿宋_GB2312" w:hAnsi="宋体" w:cs="仿宋_GB2312"/>
          <w:b/>
          <w:bCs/>
          <w:color w:val="000000"/>
          <w:kern w:val="0"/>
          <w:sz w:val="31"/>
          <w:szCs w:val="31"/>
          <w:lang w:val="en-US" w:eastAsia="zh-CN" w:bidi="ar"/>
        </w:rPr>
        <w:t>完善社会治理体系。</w:t>
      </w:r>
      <w:r>
        <w:rPr>
          <w:rFonts w:hint="eastAsia" w:ascii="仿宋_GB2312" w:hAnsi="宋体" w:eastAsia="仿宋_GB2312" w:cs="仿宋_GB2312"/>
          <w:color w:val="000000"/>
          <w:kern w:val="0"/>
          <w:sz w:val="31"/>
          <w:szCs w:val="31"/>
          <w:lang w:val="en-US" w:eastAsia="zh-CN" w:bidi="ar"/>
        </w:rPr>
        <w:t>按照党建引领</w:t>
      </w:r>
      <w:r>
        <w:rPr>
          <w:rFonts w:hint="eastAsia" w:ascii="仿宋_GB2312" w:hAnsi="宋体" w:cs="仿宋_GB2312"/>
          <w:color w:val="000000"/>
          <w:kern w:val="0"/>
          <w:sz w:val="31"/>
          <w:szCs w:val="31"/>
          <w:lang w:val="en-US" w:eastAsia="zh-CN" w:bidi="ar"/>
        </w:rPr>
        <w:t>，</w:t>
      </w:r>
      <w:r>
        <w:rPr>
          <w:rFonts w:hint="eastAsia" w:ascii="仿宋_GB2312" w:hAnsi="宋体" w:eastAsia="仿宋_GB2312" w:cs="仿宋_GB2312"/>
          <w:color w:val="000000"/>
          <w:kern w:val="0"/>
          <w:sz w:val="31"/>
          <w:szCs w:val="31"/>
          <w:lang w:val="en-US" w:eastAsia="zh-CN" w:bidi="ar"/>
        </w:rPr>
        <w:t>标准化建设、智慧化支撑、网格化管理和特色化服务的</w:t>
      </w:r>
      <w:r>
        <w:rPr>
          <w:rFonts w:hint="eastAsia" w:ascii="仿宋_GB2312" w:eastAsia="仿宋_GB2312"/>
          <w:sz w:val="32"/>
          <w:szCs w:val="32"/>
          <w:lang w:val="en-US" w:eastAsia="zh-CN"/>
        </w:rPr>
        <w:t>“4+X”</w:t>
      </w:r>
      <w:r>
        <w:rPr>
          <w:rFonts w:hint="eastAsia" w:ascii="仿宋_GB2312" w:hAnsi="宋体" w:eastAsia="仿宋_GB2312" w:cs="仿宋_GB2312"/>
          <w:color w:val="000000"/>
          <w:kern w:val="0"/>
          <w:sz w:val="31"/>
          <w:szCs w:val="31"/>
          <w:lang w:val="en-US" w:eastAsia="zh-CN" w:bidi="ar"/>
        </w:rPr>
        <w:t>模式，加快建设政治引领、法治保障、德治教化、自治强基、智治支撑的“五治融合”城乡基层治理体系。培育壮大新型社会组织，推行政府购买服务，促进社会组织和广大群众参与社会治理，建立人人有责、人人尽责、人人享有的社会治理共同体。健全分层递进、衔接配套的多元纠纷解决体系。扎实做好民族宗教工作。到2025年全市社会治理现代化体系基本建成，人民群众满意度、安全感和获得感显著提升。</w:t>
      </w:r>
      <w:r>
        <w:rPr>
          <w:rFonts w:ascii="仿宋_GB2312" w:hAnsi="宋体" w:eastAsia="仿宋_GB2312" w:cs="仿宋_GB2312"/>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576" w:lineRule="exact"/>
        <w:jc w:val="both"/>
        <w:textAlignment w:val="auto"/>
        <w:rPr>
          <w:rFonts w:hint="default"/>
          <w:lang w:val="en-US"/>
        </w:rPr>
      </w:pPr>
      <w:r>
        <w:rPr>
          <w:rFonts w:hint="eastAsia" w:ascii="仿宋_GB2312" w:hAnsi="宋体" w:cs="仿宋_GB2312"/>
          <w:b/>
          <w:bCs/>
          <w:color w:val="000000"/>
          <w:kern w:val="0"/>
          <w:sz w:val="31"/>
          <w:szCs w:val="31"/>
          <w:lang w:val="en-US" w:eastAsia="zh-CN" w:bidi="ar"/>
        </w:rPr>
        <w:t>强化社区网格化治理。</w:t>
      </w:r>
      <w:r>
        <w:rPr>
          <w:rFonts w:hint="eastAsia" w:cs="Times New Roman"/>
          <w:sz w:val="32"/>
          <w:szCs w:val="32"/>
          <w:lang w:val="en-US" w:eastAsia="zh-CN"/>
        </w:rPr>
        <w:t>完善社区网格化管理机制，推动管理资源向网格下沉，建立以网格为基本单元的精细化管理体系。实施“全科网格”工程，建立全科网格信息采集、分析研判、分流处置、督查考评等闭环式管理格局。加大农村、社区人防、物防、技防建设，全面推进“智慧安防小区”建设</w:t>
      </w:r>
      <w:r>
        <w:rPr>
          <w:rFonts w:hint="eastAsia" w:cs="Times New Roman"/>
          <w:sz w:val="32"/>
          <w:szCs w:val="32"/>
        </w:rPr>
        <w:t>。</w:t>
      </w:r>
      <w:r>
        <w:rPr>
          <w:rFonts w:hint="eastAsia" w:cs="Times New Roman"/>
          <w:sz w:val="32"/>
          <w:szCs w:val="32"/>
          <w:lang w:val="en-US" w:eastAsia="zh-CN"/>
        </w:rPr>
        <w:t>健全社区矫正机构，建立市级社区矫正管理教育帮扶中心，社区矫正人员和刑满释放人员重新犯罪率低于3‰。坚持和发展新时代“枫桥经验”，发挥基层人民法庭“桥头堡”作用，完善人民、行政、司法调解“三调联动”机制，确保矛盾纠纷调解率达到99%。</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eastAsia="zh-CN"/>
        </w:rPr>
      </w:pPr>
      <w:bookmarkStart w:id="121" w:name="_Toc30656"/>
      <w:r>
        <w:rPr>
          <w:rFonts w:hint="eastAsia" w:ascii="楷体_GB2312" w:hAnsi="楷体_GB2312" w:eastAsia="楷体_GB2312" w:cs="楷体_GB2312"/>
          <w:bCs/>
          <w:sz w:val="32"/>
          <w:szCs w:val="32"/>
        </w:rPr>
        <w:t>第</w:t>
      </w:r>
      <w:r>
        <w:rPr>
          <w:rFonts w:hint="eastAsia" w:ascii="楷体_GB2312" w:hAnsi="楷体_GB2312" w:eastAsia="楷体_GB2312" w:cs="楷体_GB2312"/>
          <w:bCs/>
          <w:sz w:val="32"/>
          <w:szCs w:val="32"/>
          <w:lang w:val="en-US" w:eastAsia="zh-CN"/>
        </w:rPr>
        <w:t>三</w:t>
      </w:r>
      <w:r>
        <w:rPr>
          <w:rFonts w:hint="eastAsia" w:ascii="楷体_GB2312" w:hAnsi="楷体_GB2312" w:eastAsia="楷体_GB2312" w:cs="楷体_GB2312"/>
          <w:bCs/>
          <w:sz w:val="32"/>
          <w:szCs w:val="32"/>
        </w:rPr>
        <w:t xml:space="preserve">节 </w:t>
      </w:r>
      <w:r>
        <w:rPr>
          <w:rFonts w:hint="eastAsia" w:ascii="楷体_GB2312" w:hAnsi="楷体_GB2312" w:eastAsia="楷体_GB2312" w:cs="楷体_GB2312"/>
          <w:bCs/>
          <w:sz w:val="32"/>
          <w:szCs w:val="32"/>
          <w:lang w:eastAsia="zh-CN"/>
        </w:rPr>
        <w:t>统筹发展与安全</w:t>
      </w:r>
      <w:bookmarkEnd w:id="121"/>
    </w:p>
    <w:p>
      <w:pPr>
        <w:keepNext w:val="0"/>
        <w:keepLines w:val="0"/>
        <w:widowControl/>
        <w:suppressLineNumbers w:val="0"/>
        <w:jc w:val="both"/>
        <w:rPr>
          <w:rFonts w:hint="eastAsia" w:ascii="仿宋_GB2312" w:eastAsia="仿宋_GB2312"/>
          <w:sz w:val="32"/>
          <w:szCs w:val="32"/>
        </w:rPr>
      </w:pPr>
      <w:r>
        <w:rPr>
          <w:rFonts w:hint="eastAsia" w:ascii="仿宋_GB2312"/>
          <w:b/>
          <w:bCs/>
          <w:sz w:val="32"/>
          <w:szCs w:val="32"/>
          <w:lang w:eastAsia="zh-CN"/>
        </w:rPr>
        <w:t>确保安全发展。</w:t>
      </w:r>
      <w:r>
        <w:rPr>
          <w:rFonts w:ascii="仿宋_GB2312" w:hAnsi="宋体" w:eastAsia="仿宋_GB2312" w:cs="仿宋_GB2312"/>
          <w:color w:val="000000"/>
          <w:kern w:val="0"/>
          <w:sz w:val="31"/>
          <w:szCs w:val="31"/>
          <w:lang w:val="en-US" w:eastAsia="zh-CN" w:bidi="ar"/>
        </w:rPr>
        <w:t>建立健全经济安全风险监测预警</w:t>
      </w:r>
      <w:r>
        <w:rPr>
          <w:rFonts w:hint="eastAsia" w:ascii="仿宋_GB2312" w:hAnsi="宋体" w:eastAsia="仿宋_GB2312" w:cs="仿宋_GB2312"/>
          <w:color w:val="000000"/>
          <w:kern w:val="0"/>
          <w:sz w:val="31"/>
          <w:szCs w:val="31"/>
          <w:lang w:val="en-US" w:eastAsia="zh-CN" w:bidi="ar"/>
        </w:rPr>
        <w:t>体系</w:t>
      </w:r>
      <w:r>
        <w:rPr>
          <w:rFonts w:hint="eastAsia" w:ascii="仿宋_GB2312" w:hAnsi="宋体" w:cs="仿宋_GB2312"/>
          <w:color w:val="000000"/>
          <w:kern w:val="0"/>
          <w:sz w:val="31"/>
          <w:szCs w:val="31"/>
          <w:lang w:val="en-US" w:eastAsia="zh-CN" w:bidi="ar"/>
        </w:rPr>
        <w:t>，提高金融监管水平，防范和打击非法金融活动，坚决守住不发生系统性金融风险底线</w:t>
      </w:r>
      <w:r>
        <w:rPr>
          <w:rFonts w:hint="eastAsia" w:ascii="仿宋_GB2312" w:hAnsi="宋体" w:eastAsia="仿宋_GB2312" w:cs="仿宋_GB2312"/>
          <w:color w:val="000000"/>
          <w:kern w:val="0"/>
          <w:sz w:val="31"/>
          <w:szCs w:val="31"/>
          <w:lang w:val="en-US" w:eastAsia="zh-CN" w:bidi="ar"/>
        </w:rPr>
        <w:t>。</w:t>
      </w:r>
      <w:r>
        <w:rPr>
          <w:rFonts w:hint="eastAsia" w:ascii="仿宋_GB2312"/>
          <w:sz w:val="32"/>
          <w:szCs w:val="32"/>
          <w:lang w:eastAsia="zh-CN"/>
        </w:rPr>
        <w:t>建设粮食应急保障体系，提升粮食存储能力，保障粮食安全。</w:t>
      </w:r>
      <w:r>
        <w:rPr>
          <w:rFonts w:hint="eastAsia" w:ascii="仿宋_GB2312" w:eastAsia="仿宋_GB2312"/>
          <w:sz w:val="32"/>
          <w:szCs w:val="32"/>
        </w:rPr>
        <w:t>强化安全监管执法，全面推行委托镇街执法，实现基层安全生产执法全覆盖。提升食品药品安全管控水平。</w:t>
      </w:r>
      <w:r>
        <w:rPr>
          <w:rFonts w:ascii="仿宋_GB2312" w:eastAsia="仿宋_GB2312"/>
          <w:sz w:val="32"/>
          <w:szCs w:val="32"/>
        </w:rPr>
        <w:t>落实安全风险分级管控</w:t>
      </w:r>
      <w:r>
        <w:rPr>
          <w:rFonts w:hint="eastAsia" w:ascii="仿宋_GB2312" w:eastAsia="仿宋_GB2312"/>
          <w:sz w:val="32"/>
          <w:szCs w:val="32"/>
        </w:rPr>
        <w:t>制度，</w:t>
      </w:r>
      <w:r>
        <w:rPr>
          <w:rFonts w:hint="eastAsia" w:ascii="仿宋_GB2312"/>
          <w:sz w:val="32"/>
          <w:szCs w:val="32"/>
          <w:lang w:eastAsia="zh-CN"/>
        </w:rPr>
        <w:t>实施</w:t>
      </w:r>
      <w:r>
        <w:rPr>
          <w:rFonts w:hint="eastAsia" w:ascii="仿宋_GB2312" w:eastAsia="仿宋_GB2312"/>
          <w:sz w:val="32"/>
          <w:szCs w:val="32"/>
        </w:rPr>
        <w:t>危化品工业园区改造，</w:t>
      </w:r>
      <w:r>
        <w:rPr>
          <w:rFonts w:ascii="仿宋_GB2312" w:eastAsia="仿宋_GB2312"/>
          <w:sz w:val="32"/>
          <w:szCs w:val="32"/>
        </w:rPr>
        <w:t>统筹推进煤矿</w:t>
      </w:r>
      <w:r>
        <w:rPr>
          <w:rFonts w:hint="eastAsia" w:ascii="仿宋_GB2312" w:eastAsia="仿宋_GB2312"/>
          <w:sz w:val="32"/>
          <w:szCs w:val="32"/>
        </w:rPr>
        <w:t>、</w:t>
      </w:r>
      <w:r>
        <w:rPr>
          <w:rFonts w:ascii="仿宋_GB2312" w:eastAsia="仿宋_GB2312"/>
          <w:sz w:val="32"/>
          <w:szCs w:val="32"/>
        </w:rPr>
        <w:t>危险化学品</w:t>
      </w:r>
      <w:r>
        <w:rPr>
          <w:rFonts w:hint="eastAsia" w:ascii="仿宋_GB2312" w:eastAsia="仿宋_GB2312"/>
          <w:sz w:val="32"/>
          <w:szCs w:val="32"/>
        </w:rPr>
        <w:t>、</w:t>
      </w:r>
      <w:r>
        <w:rPr>
          <w:rFonts w:ascii="仿宋_GB2312" w:eastAsia="仿宋_GB2312"/>
          <w:sz w:val="32"/>
          <w:szCs w:val="32"/>
        </w:rPr>
        <w:t>道路交通</w:t>
      </w:r>
      <w:r>
        <w:rPr>
          <w:rFonts w:hint="eastAsia" w:ascii="仿宋_GB2312" w:eastAsia="仿宋_GB2312"/>
          <w:sz w:val="32"/>
          <w:szCs w:val="32"/>
        </w:rPr>
        <w:t>、</w:t>
      </w:r>
      <w:r>
        <w:rPr>
          <w:rFonts w:ascii="仿宋_GB2312" w:eastAsia="仿宋_GB2312"/>
          <w:sz w:val="32"/>
          <w:szCs w:val="32"/>
        </w:rPr>
        <w:t>建筑施工</w:t>
      </w:r>
      <w:r>
        <w:rPr>
          <w:rFonts w:hint="eastAsia" w:ascii="仿宋_GB2312" w:eastAsia="仿宋_GB2312"/>
          <w:sz w:val="32"/>
          <w:szCs w:val="32"/>
        </w:rPr>
        <w:t>、</w:t>
      </w:r>
      <w:r>
        <w:rPr>
          <w:rFonts w:ascii="仿宋_GB2312" w:eastAsia="仿宋_GB2312"/>
          <w:sz w:val="32"/>
          <w:szCs w:val="32"/>
        </w:rPr>
        <w:t>城市消防等重点领域风险隐患排查</w:t>
      </w:r>
      <w:r>
        <w:rPr>
          <w:rFonts w:hint="eastAsia" w:ascii="仿宋_GB2312" w:eastAsia="仿宋_GB2312"/>
          <w:sz w:val="32"/>
          <w:szCs w:val="32"/>
        </w:rPr>
        <w:t>治理</w:t>
      </w:r>
      <w:r>
        <w:rPr>
          <w:rFonts w:ascii="仿宋_GB2312" w:eastAsia="仿宋_GB2312"/>
          <w:sz w:val="32"/>
          <w:szCs w:val="32"/>
        </w:rPr>
        <w:t>常态化</w:t>
      </w:r>
      <w:r>
        <w:rPr>
          <w:rFonts w:hint="eastAsia" w:ascii="仿宋_GB2312" w:eastAsia="仿宋_GB2312"/>
          <w:sz w:val="32"/>
          <w:szCs w:val="32"/>
        </w:rPr>
        <w:t>，提升安全</w:t>
      </w:r>
      <w:r>
        <w:rPr>
          <w:rFonts w:hint="eastAsia" w:ascii="仿宋_GB2312"/>
          <w:sz w:val="32"/>
          <w:szCs w:val="32"/>
          <w:lang w:eastAsia="zh-CN"/>
        </w:rPr>
        <w:t>发展</w:t>
      </w:r>
      <w:r>
        <w:rPr>
          <w:rFonts w:hint="eastAsia" w:ascii="仿宋_GB2312" w:eastAsia="仿宋_GB2312"/>
          <w:sz w:val="32"/>
          <w:szCs w:val="32"/>
        </w:rPr>
        <w:t>水平。</w:t>
      </w:r>
    </w:p>
    <w:p>
      <w:pPr>
        <w:keepNext w:val="0"/>
        <w:keepLines w:val="0"/>
        <w:widowControl/>
        <w:suppressLineNumbers w:val="0"/>
        <w:jc w:val="both"/>
        <w:rPr>
          <w:rFonts w:hint="eastAsia" w:ascii="仿宋_GB2312"/>
          <w:sz w:val="32"/>
          <w:szCs w:val="32"/>
          <w:lang w:eastAsia="zh-CN"/>
        </w:rPr>
      </w:pPr>
      <w:r>
        <w:rPr>
          <w:rFonts w:hint="eastAsia" w:ascii="仿宋_GB2312"/>
          <w:b/>
          <w:bCs/>
          <w:sz w:val="32"/>
          <w:szCs w:val="32"/>
          <w:lang w:eastAsia="zh-CN"/>
        </w:rPr>
        <w:t>提升</w:t>
      </w:r>
      <w:r>
        <w:rPr>
          <w:rFonts w:ascii="仿宋_GB2312" w:eastAsia="仿宋_GB2312"/>
          <w:b/>
          <w:bCs/>
          <w:sz w:val="32"/>
          <w:szCs w:val="32"/>
        </w:rPr>
        <w:t>应急</w:t>
      </w:r>
      <w:r>
        <w:rPr>
          <w:rFonts w:hint="eastAsia" w:ascii="仿宋_GB2312"/>
          <w:b/>
          <w:bCs/>
          <w:sz w:val="32"/>
          <w:szCs w:val="32"/>
          <w:lang w:val="en-US" w:eastAsia="zh-CN"/>
        </w:rPr>
        <w:t>处突</w:t>
      </w:r>
      <w:r>
        <w:rPr>
          <w:rFonts w:hint="eastAsia" w:ascii="仿宋_GB2312"/>
          <w:b/>
          <w:bCs/>
          <w:sz w:val="32"/>
          <w:szCs w:val="32"/>
          <w:lang w:eastAsia="zh-CN"/>
        </w:rPr>
        <w:t>水平。</w:t>
      </w:r>
      <w:r>
        <w:rPr>
          <w:rFonts w:hint="eastAsia" w:ascii="仿宋_GB2312" w:eastAsia="仿宋_GB2312"/>
          <w:sz w:val="32"/>
          <w:szCs w:val="32"/>
        </w:rPr>
        <w:t>建立健全各类灾害现场应急处置多部门联动机制，搭建应急指挥平台，提高物资调配效率和资源统筹利用水平。</w:t>
      </w:r>
      <w:r>
        <w:rPr>
          <w:rFonts w:hint="eastAsia" w:ascii="仿宋_GB2312"/>
          <w:sz w:val="32"/>
          <w:szCs w:val="32"/>
          <w:lang w:eastAsia="zh-CN"/>
        </w:rPr>
        <w:t>强化</w:t>
      </w:r>
      <w:r>
        <w:rPr>
          <w:rFonts w:hint="eastAsia" w:ascii="仿宋_GB2312" w:eastAsia="仿宋_GB2312"/>
          <w:sz w:val="32"/>
          <w:szCs w:val="32"/>
        </w:rPr>
        <w:t>应急救援队伍</w:t>
      </w:r>
      <w:r>
        <w:rPr>
          <w:rFonts w:hint="eastAsia" w:ascii="仿宋_GB2312"/>
          <w:sz w:val="32"/>
          <w:szCs w:val="32"/>
          <w:lang w:eastAsia="zh-CN"/>
        </w:rPr>
        <w:t>建设</w:t>
      </w:r>
      <w:r>
        <w:rPr>
          <w:rFonts w:hint="eastAsia" w:ascii="仿宋_GB2312" w:eastAsia="仿宋_GB2312"/>
          <w:sz w:val="32"/>
          <w:szCs w:val="32"/>
        </w:rPr>
        <w:t>，组建应急管理专家队伍，建设反应快速、能力</w:t>
      </w:r>
      <w:r>
        <w:rPr>
          <w:rFonts w:hint="eastAsia" w:ascii="仿宋_GB2312" w:eastAsia="仿宋_GB2312"/>
          <w:sz w:val="32"/>
          <w:szCs w:val="32"/>
          <w:lang w:eastAsia="zh-CN"/>
        </w:rPr>
        <w:t>突出</w:t>
      </w:r>
      <w:r>
        <w:rPr>
          <w:rFonts w:hint="eastAsia" w:ascii="仿宋_GB2312" w:eastAsia="仿宋_GB2312"/>
          <w:sz w:val="32"/>
          <w:szCs w:val="32"/>
        </w:rPr>
        <w:t>的专兼职应急救援队伍，实现主要灾种应急救援的全覆盖。坚持群防群治，强化应急科普知识宣传，提高紧急避险和自救互救能力。</w:t>
      </w:r>
      <w:r>
        <w:rPr>
          <w:rFonts w:hint="eastAsia" w:ascii="仿宋_GB2312"/>
          <w:sz w:val="32"/>
          <w:szCs w:val="32"/>
          <w:lang w:eastAsia="zh-CN"/>
        </w:rPr>
        <w:t>积极争取应急管理学院落地神木。</w:t>
      </w:r>
      <w:r>
        <w:rPr>
          <w:rFonts w:hint="eastAsia" w:ascii="仿宋_GB2312"/>
          <w:sz w:val="32"/>
          <w:szCs w:val="32"/>
          <w:lang w:val="en-US" w:eastAsia="zh-CN"/>
        </w:rPr>
        <w:t>深化与职业技术学院、经开区合作，</w:t>
      </w:r>
      <w:r>
        <w:rPr>
          <w:rFonts w:hint="eastAsia" w:ascii="仿宋_GB2312" w:eastAsia="仿宋_GB2312"/>
          <w:sz w:val="32"/>
          <w:szCs w:val="32"/>
        </w:rPr>
        <w:t>建设神木市应急科普宣教基地</w:t>
      </w:r>
      <w:r>
        <w:rPr>
          <w:rFonts w:hint="eastAsia" w:ascii="仿宋_GB2312"/>
          <w:sz w:val="32"/>
          <w:szCs w:val="32"/>
          <w:lang w:eastAsia="zh-CN"/>
        </w:rPr>
        <w:t>、</w:t>
      </w:r>
      <w:r>
        <w:rPr>
          <w:rFonts w:cs="Times New Roman"/>
          <w:kern w:val="2"/>
          <w:sz w:val="32"/>
          <w:szCs w:val="32"/>
        </w:rPr>
        <w:t>应急管理产业园</w:t>
      </w:r>
      <w:r>
        <w:rPr>
          <w:rFonts w:hint="eastAsia" w:cs="Times New Roman"/>
          <w:kern w:val="2"/>
          <w:sz w:val="32"/>
          <w:szCs w:val="32"/>
          <w:lang w:eastAsia="zh-CN"/>
        </w:rPr>
        <w:t>，</w:t>
      </w:r>
      <w:r>
        <w:rPr>
          <w:rFonts w:hint="eastAsia" w:cs="Times New Roman"/>
          <w:kern w:val="2"/>
          <w:sz w:val="32"/>
          <w:szCs w:val="32"/>
          <w:lang w:val="en-US" w:eastAsia="zh-CN"/>
        </w:rPr>
        <w:t>打造应急创新服务基地。</w:t>
      </w:r>
      <w:r>
        <w:rPr>
          <w:rFonts w:hint="eastAsia" w:ascii="仿宋_GB2312" w:eastAsia="仿宋_GB2312"/>
          <w:sz w:val="32"/>
          <w:szCs w:val="32"/>
        </w:rPr>
        <w:t>到2</w:t>
      </w:r>
      <w:r>
        <w:rPr>
          <w:rFonts w:ascii="仿宋_GB2312" w:eastAsia="仿宋_GB2312"/>
          <w:sz w:val="32"/>
          <w:szCs w:val="32"/>
        </w:rPr>
        <w:t>025年</w:t>
      </w:r>
      <w:r>
        <w:rPr>
          <w:rFonts w:hint="eastAsia" w:ascii="仿宋_GB2312" w:eastAsia="仿宋_GB2312"/>
          <w:sz w:val="32"/>
          <w:szCs w:val="32"/>
        </w:rPr>
        <w:t>，</w:t>
      </w:r>
      <w:r>
        <w:rPr>
          <w:rFonts w:ascii="仿宋_GB2312" w:eastAsia="仿宋_GB2312"/>
          <w:sz w:val="32"/>
          <w:szCs w:val="32"/>
        </w:rPr>
        <w:t>实现事故起数</w:t>
      </w:r>
      <w:r>
        <w:rPr>
          <w:rFonts w:hint="eastAsia" w:ascii="仿宋_GB2312" w:eastAsia="仿宋_GB2312"/>
          <w:sz w:val="32"/>
          <w:szCs w:val="32"/>
        </w:rPr>
        <w:t>、</w:t>
      </w:r>
      <w:r>
        <w:rPr>
          <w:rFonts w:ascii="仿宋_GB2312" w:eastAsia="仿宋_GB2312"/>
          <w:sz w:val="32"/>
          <w:szCs w:val="32"/>
        </w:rPr>
        <w:t>死亡人数</w:t>
      </w:r>
      <w:r>
        <w:rPr>
          <w:rFonts w:hint="eastAsia" w:ascii="仿宋_GB2312" w:eastAsia="仿宋_GB2312"/>
          <w:sz w:val="32"/>
          <w:szCs w:val="32"/>
        </w:rPr>
        <w:t>、</w:t>
      </w:r>
      <w:r>
        <w:rPr>
          <w:rFonts w:ascii="仿宋_GB2312" w:eastAsia="仿宋_GB2312"/>
          <w:sz w:val="32"/>
          <w:szCs w:val="32"/>
        </w:rPr>
        <w:t>经济损失全面下降</w:t>
      </w:r>
      <w:r>
        <w:rPr>
          <w:rFonts w:hint="eastAsia" w:ascii="仿宋_GB2312" w:eastAsia="仿宋_GB2312"/>
          <w:sz w:val="32"/>
          <w:szCs w:val="32"/>
        </w:rPr>
        <w:t>。</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val="en-US" w:eastAsia="zh-CN"/>
        </w:rPr>
      </w:pPr>
      <w:bookmarkStart w:id="122" w:name="_Toc20361"/>
      <w:r>
        <w:rPr>
          <w:rFonts w:hint="eastAsia" w:ascii="楷体_GB2312" w:hAnsi="楷体_GB2312" w:eastAsia="楷体_GB2312" w:cs="楷体_GB2312"/>
          <w:bCs/>
          <w:sz w:val="32"/>
          <w:szCs w:val="32"/>
          <w:lang w:val="en-US" w:eastAsia="zh-CN"/>
        </w:rPr>
        <w:t>第四节 建设法治神木</w:t>
      </w:r>
      <w:bookmarkEnd w:id="122"/>
    </w:p>
    <w:p>
      <w:pPr>
        <w:keepNext w:val="0"/>
        <w:keepLines w:val="0"/>
        <w:widowControl/>
        <w:suppressLineNumbers w:val="0"/>
        <w:jc w:val="both"/>
        <w:rPr>
          <w:rFonts w:hint="eastAsia" w:ascii="仿宋_GB2312" w:eastAsia="仿宋_GB2312"/>
          <w:sz w:val="32"/>
          <w:szCs w:val="32"/>
          <w:lang w:val="en-US" w:eastAsia="zh-CN"/>
        </w:rPr>
      </w:pPr>
      <w:r>
        <w:rPr>
          <w:rFonts w:hint="eastAsia" w:ascii="仿宋_GB2312" w:cs="黑体"/>
          <w:b/>
          <w:bCs/>
          <w:sz w:val="32"/>
          <w:szCs w:val="32"/>
          <w:lang w:val="en-US" w:eastAsia="zh-CN" w:bidi="ar-SA"/>
        </w:rPr>
        <w:t>建设法治政府。</w:t>
      </w:r>
      <w:r>
        <w:rPr>
          <w:rFonts w:hint="eastAsia" w:ascii="仿宋_GB2312" w:eastAsia="仿宋_GB2312"/>
          <w:sz w:val="32"/>
          <w:szCs w:val="32"/>
          <w:lang w:val="en-US" w:eastAsia="zh-CN"/>
        </w:rPr>
        <w:t xml:space="preserve">积极推进政府法律顾问制度，健全重大事项依法决策机制，明确重大行政决策的范围和标准，落实重大决策终身责任追究制度和责任倒查制度。加强行政程序制度建设，完善政府守信践诺机制。加大政府信息公开力度，健全政务公开和新闻发布制度。落实党风廉政建设责任制度，严格监督查处行政违法行为。深入开展法治宣传教育活动，推进法治文化建设。 </w:t>
      </w:r>
    </w:p>
    <w:p>
      <w:pPr>
        <w:keepNext w:val="0"/>
        <w:keepLines w:val="0"/>
        <w:widowControl/>
        <w:suppressLineNumbers w:val="0"/>
        <w:jc w:val="left"/>
        <w:rPr>
          <w:rFonts w:hint="eastAsia" w:ascii="仿宋_GB2312" w:eastAsia="仿宋_GB2312"/>
          <w:sz w:val="32"/>
          <w:szCs w:val="32"/>
          <w:lang w:val="en-US" w:eastAsia="zh-CN"/>
        </w:rPr>
      </w:pPr>
      <w:r>
        <w:rPr>
          <w:rFonts w:hint="eastAsia" w:ascii="仿宋_GB2312" w:cs="黑体"/>
          <w:b/>
          <w:bCs/>
          <w:sz w:val="32"/>
          <w:szCs w:val="32"/>
          <w:lang w:val="en-US" w:eastAsia="zh-CN" w:bidi="ar-SA"/>
        </w:rPr>
        <w:t>维护司法公正。</w:t>
      </w:r>
      <w:r>
        <w:rPr>
          <w:rFonts w:hint="eastAsia" w:ascii="仿宋_GB2312" w:eastAsia="仿宋_GB2312"/>
          <w:sz w:val="32"/>
          <w:szCs w:val="32"/>
          <w:lang w:val="en-US" w:eastAsia="zh-CN"/>
        </w:rPr>
        <w:t>严格规范司法行为，完善司法办案程序规则、质量标准和监督办法，健全公安机关、检察机关、司法行政机关相互配合、互相制约的体制机制，落实办案质量终身负责制和错案责任追究制。建立权责一致的司法权运行机制，加强审判流程标准化建设，深化以审判为中心的刑事诉讼制度改革，构建规范的执法制度体系、办案体系和管理体系。强化法律援助制度，健全司法救助体系。</w:t>
      </w:r>
    </w:p>
    <w:p>
      <w:pPr>
        <w:keepNext w:val="0"/>
        <w:keepLines w:val="0"/>
        <w:widowControl/>
        <w:suppressLineNumbers w:val="0"/>
        <w:jc w:val="left"/>
      </w:pPr>
      <w:r>
        <w:rPr>
          <w:rFonts w:hint="eastAsia" w:ascii="仿宋_GB2312" w:hAnsi="Times New Roman" w:eastAsia="仿宋_GB2312" w:cs="黑体"/>
          <w:b/>
          <w:bCs/>
          <w:sz w:val="32"/>
          <w:szCs w:val="32"/>
          <w:lang w:val="en-US" w:eastAsia="zh-CN" w:bidi="ar-SA"/>
        </w:rPr>
        <w:t>加强社会治安防控体系建设。</w:t>
      </w:r>
      <w:r>
        <w:rPr>
          <w:rFonts w:hint="eastAsia" w:ascii="仿宋_GB2312" w:eastAsia="仿宋_GB2312"/>
          <w:sz w:val="32"/>
          <w:szCs w:val="32"/>
          <w:lang w:val="en-US" w:eastAsia="zh-CN"/>
        </w:rPr>
        <w:t>坚持打、防、管、控、建并举，健全专群结合、群防群治机制，构建立体化、智能化社会治安防控体系。开展政法队伍教育整顿，在长效常治上下功夫，确保涉黑涉恶治安乱点得到全面整治。健全和完善风险防控体制机制，全面加强社会稳定风险评估，从源头上预防不稳定问题发生。高标准建设雪亮工程，建成全域覆盖、全网共享、全时可用、全程可控的公共安全视频监控网。建立长效机制，推动扫黑除恶专项斗争常态化开展</w:t>
      </w:r>
      <w:r>
        <w:rPr>
          <w:rFonts w:hint="eastAsia" w:ascii="仿宋_GB2312"/>
          <w:sz w:val="32"/>
          <w:szCs w:val="32"/>
          <w:lang w:val="en-US" w:eastAsia="zh-CN"/>
        </w:rPr>
        <w:t>，大力开展惩赖行动，竭力净化社会风气</w:t>
      </w:r>
      <w:r>
        <w:rPr>
          <w:rFonts w:hint="eastAsia" w:ascii="仿宋_GB2312" w:eastAsia="仿宋_GB2312"/>
          <w:sz w:val="32"/>
          <w:szCs w:val="32"/>
          <w:lang w:val="en-US" w:eastAsia="zh-CN"/>
        </w:rPr>
        <w:t>。持续加大重点地区、行业、领域治安乱点整治力度。</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val="en-US" w:eastAsia="zh-CN"/>
        </w:rPr>
      </w:pPr>
      <w:bookmarkStart w:id="123" w:name="_Toc17864"/>
      <w:r>
        <w:rPr>
          <w:rFonts w:hint="eastAsia" w:ascii="楷体_GB2312" w:hAnsi="楷体_GB2312" w:eastAsia="楷体_GB2312" w:cs="楷体_GB2312"/>
          <w:bCs/>
          <w:sz w:val="32"/>
          <w:szCs w:val="32"/>
          <w:lang w:val="en-US" w:eastAsia="zh-CN"/>
        </w:rPr>
        <w:t>第五节 推进社会信用体系建设</w:t>
      </w:r>
      <w:bookmarkEnd w:id="123"/>
    </w:p>
    <w:p>
      <w:pPr>
        <w:pStyle w:val="10"/>
        <w:spacing w:line="560" w:lineRule="exact"/>
        <w:ind w:firstLine="640"/>
        <w:jc w:val="both"/>
        <w:rPr>
          <w:rFonts w:cs="Times New Roman"/>
          <w:kern w:val="2"/>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hint="eastAsia" w:cs="Times New Roman"/>
          <w:kern w:val="2"/>
          <w:sz w:val="32"/>
          <w:szCs w:val="32"/>
        </w:rPr>
        <w:t>加快“诚信神木”建设，</w:t>
      </w:r>
      <w:r>
        <w:rPr>
          <w:rFonts w:cs="Times New Roman"/>
          <w:kern w:val="2"/>
          <w:sz w:val="32"/>
          <w:szCs w:val="32"/>
        </w:rPr>
        <w:t>深入推进信用体系建设</w:t>
      </w:r>
      <w:r>
        <w:rPr>
          <w:rFonts w:hint="eastAsia" w:cs="Times New Roman"/>
          <w:kern w:val="2"/>
          <w:sz w:val="32"/>
          <w:szCs w:val="32"/>
        </w:rPr>
        <w:t>。以“诚信神木”平台为依托，</w:t>
      </w:r>
      <w:r>
        <w:rPr>
          <w:rFonts w:cs="Times New Roman"/>
          <w:kern w:val="2"/>
          <w:sz w:val="32"/>
          <w:szCs w:val="32"/>
        </w:rPr>
        <w:t>建立健全覆盖全社会成员的信用记录和信用基础设施网络</w:t>
      </w:r>
      <w:r>
        <w:rPr>
          <w:rFonts w:hint="eastAsia" w:cs="Times New Roman"/>
          <w:kern w:val="2"/>
          <w:sz w:val="32"/>
          <w:szCs w:val="32"/>
        </w:rPr>
        <w:t>，</w:t>
      </w:r>
      <w:r>
        <w:rPr>
          <w:rFonts w:cs="Times New Roman"/>
          <w:kern w:val="2"/>
          <w:sz w:val="32"/>
          <w:szCs w:val="32"/>
        </w:rPr>
        <w:t>对全市各行业、各类市场主体进行常态化信用监测。推广“信易+”</w:t>
      </w:r>
      <w:r>
        <w:rPr>
          <w:rFonts w:hint="eastAsia" w:cs="Times New Roman"/>
          <w:kern w:val="2"/>
          <w:sz w:val="32"/>
          <w:szCs w:val="32"/>
        </w:rPr>
        <w:t>场景应用</w:t>
      </w:r>
      <w:r>
        <w:rPr>
          <w:rFonts w:cs="Times New Roman"/>
          <w:kern w:val="2"/>
          <w:sz w:val="32"/>
          <w:szCs w:val="32"/>
        </w:rPr>
        <w:t>。以信用合规应用和信用服务体系为支撑，引导全社会树立诚信文化理念</w:t>
      </w:r>
      <w:r>
        <w:rPr>
          <w:rFonts w:hint="eastAsia" w:cs="Times New Roman"/>
          <w:kern w:val="2"/>
          <w:sz w:val="32"/>
          <w:szCs w:val="32"/>
        </w:rPr>
        <w:t>。</w:t>
      </w:r>
      <w:r>
        <w:rPr>
          <w:rFonts w:cs="Times New Roman"/>
          <w:kern w:val="2"/>
          <w:sz w:val="32"/>
          <w:szCs w:val="32"/>
        </w:rPr>
        <w:t>建立守信激励</w:t>
      </w:r>
      <w:r>
        <w:rPr>
          <w:rFonts w:hint="eastAsia" w:cs="Times New Roman"/>
          <w:kern w:val="2"/>
          <w:sz w:val="32"/>
          <w:szCs w:val="32"/>
        </w:rPr>
        <w:t>和</w:t>
      </w:r>
      <w:r>
        <w:rPr>
          <w:rFonts w:cs="Times New Roman"/>
          <w:kern w:val="2"/>
          <w:sz w:val="32"/>
          <w:szCs w:val="32"/>
        </w:rPr>
        <w:t>失信约束机制，提高全社会诚信意识和信用水平。</w:t>
      </w:r>
    </w:p>
    <w:p>
      <w:pPr>
        <w:pStyle w:val="3"/>
        <w:ind w:left="0" w:firstLine="0" w:firstLineChars="0"/>
        <w:jc w:val="center"/>
        <w:rPr>
          <w:rFonts w:hint="default" w:ascii="Times New Roman" w:hAnsi="Times New Roman" w:eastAsia="方正小标宋简体" w:cs="Times New Roman"/>
          <w:w w:val="82"/>
          <w:sz w:val="44"/>
          <w:szCs w:val="44"/>
          <w:lang w:val="en-US" w:eastAsia="zh-CN"/>
        </w:rPr>
      </w:pPr>
      <w:bookmarkStart w:id="124" w:name="_Toc11692"/>
      <w:r>
        <w:rPr>
          <w:rFonts w:ascii="Times New Roman" w:hAnsi="Times New Roman" w:eastAsia="方正小标宋简体" w:cs="Times New Roman"/>
          <w:w w:val="82"/>
          <w:sz w:val="44"/>
          <w:szCs w:val="44"/>
        </w:rPr>
        <w:t xml:space="preserve">第十四章 </w:t>
      </w:r>
      <w:r>
        <w:rPr>
          <w:rFonts w:hint="eastAsia" w:ascii="Times New Roman" w:hAnsi="Times New Roman" w:eastAsia="方正小标宋简体" w:cs="Times New Roman"/>
          <w:w w:val="82"/>
          <w:sz w:val="44"/>
          <w:szCs w:val="44"/>
          <w:lang w:val="en-US" w:eastAsia="zh-CN"/>
        </w:rPr>
        <w:t>坚持规划引领，确保目标和任务取得新成效</w:t>
      </w:r>
      <w:bookmarkEnd w:id="124"/>
    </w:p>
    <w:p>
      <w:pPr>
        <w:adjustRightInd/>
        <w:snapToGrid/>
        <w:spacing w:line="600" w:lineRule="exact"/>
        <w:ind w:firstLine="640"/>
        <w:jc w:val="both"/>
        <w:rPr>
          <w:rFonts w:cs="Times New Roman"/>
          <w:kern w:val="2"/>
          <w:sz w:val="32"/>
          <w:szCs w:val="32"/>
        </w:rPr>
      </w:pPr>
      <w:bookmarkStart w:id="125" w:name="_Toc20128"/>
      <w:r>
        <w:rPr>
          <w:rFonts w:hint="eastAsia" w:cs="Times New Roman"/>
          <w:kern w:val="2"/>
          <w:sz w:val="32"/>
          <w:szCs w:val="32"/>
          <w:lang w:eastAsia="zh-CN"/>
        </w:rPr>
        <w:t>加强</w:t>
      </w:r>
      <w:r>
        <w:rPr>
          <w:rFonts w:hint="eastAsia" w:cs="Times New Roman"/>
          <w:kern w:val="2"/>
          <w:sz w:val="32"/>
          <w:szCs w:val="32"/>
        </w:rPr>
        <w:t>和完善</w:t>
      </w:r>
      <w:r>
        <w:rPr>
          <w:rFonts w:cs="Times New Roman"/>
          <w:kern w:val="2"/>
          <w:sz w:val="32"/>
          <w:szCs w:val="32"/>
        </w:rPr>
        <w:t>党的领导，健全规划实施体系，强化政策配套和项目支撑、及时监督评估，确保按期完成目标任务。</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val="en-US" w:eastAsia="zh-CN"/>
        </w:rPr>
      </w:pPr>
      <w:bookmarkStart w:id="126" w:name="_Toc3017"/>
      <w:r>
        <w:rPr>
          <w:rFonts w:hint="eastAsia" w:ascii="楷体_GB2312" w:hAnsi="楷体_GB2312" w:eastAsia="楷体_GB2312" w:cs="楷体_GB2312"/>
          <w:bCs/>
          <w:sz w:val="32"/>
          <w:szCs w:val="32"/>
          <w:lang w:val="en-US" w:eastAsia="zh-CN"/>
        </w:rPr>
        <w:t>第一节 加强和完善党的领导</w:t>
      </w:r>
      <w:bookmarkEnd w:id="125"/>
      <w:bookmarkEnd w:id="126"/>
    </w:p>
    <w:p>
      <w:pPr>
        <w:widowControl/>
        <w:ind w:firstLine="640"/>
        <w:jc w:val="both"/>
        <w:rPr>
          <w:rFonts w:hint="eastAsia" w:eastAsia="仿宋_GB2312" w:cs="Times New Roman"/>
          <w:kern w:val="2"/>
          <w:sz w:val="32"/>
          <w:szCs w:val="32"/>
          <w:lang w:eastAsia="zh-CN"/>
        </w:rPr>
      </w:pPr>
      <w:r>
        <w:rPr>
          <w:rFonts w:hint="eastAsia" w:cs="Times New Roman"/>
          <w:kern w:val="2"/>
          <w:sz w:val="32"/>
          <w:szCs w:val="32"/>
          <w:lang w:val="en-US" w:eastAsia="zh-CN"/>
        </w:rPr>
        <w:t>发挥党委</w:t>
      </w:r>
      <w:r>
        <w:rPr>
          <w:rFonts w:cs="Times New Roman"/>
          <w:kern w:val="2"/>
          <w:sz w:val="32"/>
          <w:szCs w:val="32"/>
        </w:rPr>
        <w:t>总揽全局、协调各方的领导核心作用，坚决落实中</w:t>
      </w:r>
      <w:r>
        <w:rPr>
          <w:rFonts w:hint="eastAsia" w:cs="Times New Roman"/>
          <w:kern w:val="2"/>
          <w:sz w:val="32"/>
          <w:szCs w:val="32"/>
        </w:rPr>
        <w:t>省榆林市和神木市委</w:t>
      </w:r>
      <w:r>
        <w:rPr>
          <w:rFonts w:cs="Times New Roman"/>
          <w:kern w:val="2"/>
          <w:sz w:val="32"/>
          <w:szCs w:val="32"/>
        </w:rPr>
        <w:t>工作部署，调动一切积极因素，带领全市干部群众，把习近平总书记来陕考察重要讲话精神贯彻落实到经济社会发展全局。发挥工青妇等群团组织作用，巩固和发展最广泛的爱国统一战线，充分发挥民主党派、工商联和无党派人士参政议政作用，最大限度凝聚全社会共识和力量。全面</w:t>
      </w:r>
      <w:r>
        <w:rPr>
          <w:rFonts w:hint="eastAsia" w:cs="Times New Roman"/>
          <w:kern w:val="2"/>
          <w:sz w:val="32"/>
          <w:szCs w:val="32"/>
        </w:rPr>
        <w:t>发挥</w:t>
      </w:r>
      <w:r>
        <w:rPr>
          <w:rFonts w:cs="Times New Roman"/>
          <w:kern w:val="2"/>
          <w:sz w:val="32"/>
          <w:szCs w:val="32"/>
        </w:rPr>
        <w:t>基层党组织战斗堡垒和党员先锋模范作用，高水平落实规划目标和任务。完善和用好“三项机制”，营造敢担当、善作为的良好工作氛围。健全规划重大事项实施公开机制、社会监督机制和公众评价机制，实现群策群力、共建共享。纵深推进全面从严治党，强化权力运行制约和监督，</w:t>
      </w:r>
      <w:r>
        <w:rPr>
          <w:rFonts w:hint="eastAsia" w:cs="Times New Roman"/>
          <w:kern w:val="2"/>
          <w:sz w:val="32"/>
          <w:szCs w:val="32"/>
          <w:lang w:eastAsia="zh-CN"/>
        </w:rPr>
        <w:t>一体</w:t>
      </w:r>
      <w:r>
        <w:rPr>
          <w:rFonts w:cs="Times New Roman"/>
          <w:kern w:val="2"/>
          <w:sz w:val="32"/>
          <w:szCs w:val="32"/>
        </w:rPr>
        <w:t>构建不敢腐、不能腐、不想腐的体制机制，为经济社会发展营造良好的政治生态</w:t>
      </w:r>
      <w:r>
        <w:rPr>
          <w:rFonts w:hint="eastAsia" w:cs="Times New Roman"/>
          <w:kern w:val="2"/>
          <w:sz w:val="32"/>
          <w:szCs w:val="32"/>
        </w:rPr>
        <w:t>，切实</w:t>
      </w:r>
      <w:r>
        <w:rPr>
          <w:rFonts w:cs="Times New Roman"/>
          <w:kern w:val="2"/>
          <w:sz w:val="32"/>
          <w:szCs w:val="32"/>
        </w:rPr>
        <w:t>维护“十四五”时期经济社会发展的繁荣稳定</w:t>
      </w:r>
      <w:r>
        <w:rPr>
          <w:rFonts w:hint="eastAsia" w:cs="Times New Roman"/>
          <w:kern w:val="2"/>
          <w:sz w:val="32"/>
          <w:szCs w:val="32"/>
          <w:lang w:eastAsia="zh-CN"/>
        </w:rPr>
        <w:t>。</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val="en-US" w:eastAsia="zh-CN"/>
        </w:rPr>
      </w:pPr>
      <w:bookmarkStart w:id="127" w:name="_Toc3841"/>
      <w:r>
        <w:rPr>
          <w:rFonts w:hint="eastAsia" w:ascii="楷体_GB2312" w:hAnsi="楷体_GB2312" w:eastAsia="楷体_GB2312" w:cs="楷体_GB2312"/>
          <w:bCs/>
          <w:sz w:val="32"/>
          <w:szCs w:val="32"/>
          <w:lang w:val="en-US" w:eastAsia="zh-CN"/>
        </w:rPr>
        <w:t>第二节 健全规划实施体系</w:t>
      </w:r>
      <w:bookmarkEnd w:id="127"/>
    </w:p>
    <w:p>
      <w:pPr>
        <w:widowControl/>
        <w:ind w:firstLine="640"/>
        <w:jc w:val="both"/>
        <w:rPr>
          <w:rFonts w:cs="Times New Roman"/>
          <w:kern w:val="2"/>
          <w:sz w:val="32"/>
          <w:szCs w:val="32"/>
        </w:rPr>
      </w:pPr>
      <w:r>
        <w:rPr>
          <w:rFonts w:cs="Times New Roman"/>
          <w:kern w:val="2"/>
          <w:sz w:val="32"/>
          <w:szCs w:val="32"/>
        </w:rPr>
        <w:t>坚持专项规划服从总体规划、下位规划服从上位规划的原则，加强本规划对各专项规划以及各镇街、部门、园区规划的指导作用，以规划纲要为统领，以</w:t>
      </w:r>
      <w:r>
        <w:rPr>
          <w:rFonts w:hint="eastAsia" w:cs="Times New Roman"/>
          <w:kern w:val="2"/>
          <w:sz w:val="32"/>
          <w:szCs w:val="32"/>
        </w:rPr>
        <w:t>国土空间</w:t>
      </w:r>
      <w:r>
        <w:rPr>
          <w:rFonts w:cs="Times New Roman"/>
          <w:kern w:val="2"/>
          <w:sz w:val="32"/>
          <w:szCs w:val="32"/>
        </w:rPr>
        <w:t>规划、专项规划和镇街、部门、园区经济和社会发展规划为支撑，建立定位清晰、功能互补、衔接</w:t>
      </w:r>
      <w:r>
        <w:rPr>
          <w:rFonts w:hint="eastAsia" w:cs="Times New Roman"/>
          <w:kern w:val="2"/>
          <w:sz w:val="32"/>
          <w:szCs w:val="32"/>
          <w:lang w:eastAsia="zh-CN"/>
        </w:rPr>
        <w:t>有效</w:t>
      </w:r>
      <w:r>
        <w:rPr>
          <w:rFonts w:cs="Times New Roman"/>
          <w:kern w:val="2"/>
          <w:sz w:val="32"/>
          <w:szCs w:val="32"/>
        </w:rPr>
        <w:t>的规划体系</w:t>
      </w:r>
      <w:r>
        <w:rPr>
          <w:rFonts w:hint="eastAsia" w:cs="Times New Roman"/>
          <w:kern w:val="2"/>
          <w:sz w:val="32"/>
          <w:szCs w:val="32"/>
        </w:rPr>
        <w:t>，</w:t>
      </w:r>
      <w:r>
        <w:rPr>
          <w:rFonts w:cs="Times New Roman"/>
          <w:kern w:val="2"/>
          <w:sz w:val="32"/>
          <w:szCs w:val="32"/>
        </w:rPr>
        <w:t>加强规划在重大生产力布局、重点项目安排、基础设施建设等方面的协调</w:t>
      </w:r>
      <w:r>
        <w:rPr>
          <w:rFonts w:hint="eastAsia" w:cs="Times New Roman"/>
          <w:kern w:val="2"/>
          <w:sz w:val="32"/>
          <w:szCs w:val="32"/>
          <w:lang w:eastAsia="zh-CN"/>
        </w:rPr>
        <w:t>指导和引领作用</w:t>
      </w:r>
      <w:r>
        <w:rPr>
          <w:rFonts w:cs="Times New Roman"/>
          <w:kern w:val="2"/>
          <w:sz w:val="32"/>
          <w:szCs w:val="32"/>
        </w:rPr>
        <w:t>。各部门编制的专项规划，要围绕全市经济社会发展关键领域和薄弱环节，着力解决突出问题，形成落实本规划的重要支撑和抓手。各镇街、园区要结合自身实际，突出</w:t>
      </w:r>
      <w:r>
        <w:rPr>
          <w:rFonts w:hint="eastAsia" w:cs="Times New Roman"/>
          <w:kern w:val="2"/>
          <w:sz w:val="32"/>
          <w:szCs w:val="32"/>
          <w:lang w:val="en-US" w:eastAsia="zh-CN"/>
        </w:rPr>
        <w:t>自身</w:t>
      </w:r>
      <w:r>
        <w:rPr>
          <w:rFonts w:cs="Times New Roman"/>
          <w:kern w:val="2"/>
          <w:sz w:val="32"/>
          <w:szCs w:val="32"/>
        </w:rPr>
        <w:t>特色，切实贯彻规划纲要的战略意图，全面落实好本规划确定的主要指标、重大任务、重大项目和重大改革举措</w:t>
      </w:r>
      <w:r>
        <w:rPr>
          <w:rFonts w:hint="eastAsia" w:cs="Times New Roman"/>
          <w:kern w:val="2"/>
          <w:sz w:val="32"/>
          <w:szCs w:val="32"/>
        </w:rPr>
        <w:t>，</w:t>
      </w:r>
      <w:r>
        <w:rPr>
          <w:rFonts w:cs="Times New Roman"/>
          <w:kern w:val="2"/>
          <w:sz w:val="32"/>
          <w:szCs w:val="32"/>
        </w:rPr>
        <w:t>确保各项规划任务如期顺利完成。</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val="en-US" w:eastAsia="zh-CN"/>
        </w:rPr>
      </w:pPr>
      <w:bookmarkStart w:id="128" w:name="_Toc20445"/>
      <w:r>
        <w:rPr>
          <w:rFonts w:hint="eastAsia" w:ascii="楷体_GB2312" w:hAnsi="楷体_GB2312" w:eastAsia="楷体_GB2312" w:cs="楷体_GB2312"/>
          <w:bCs/>
          <w:sz w:val="32"/>
          <w:szCs w:val="32"/>
          <w:lang w:val="en-US" w:eastAsia="zh-CN"/>
        </w:rPr>
        <w:t>第三节 加强政策和项目配套</w:t>
      </w:r>
      <w:bookmarkEnd w:id="128"/>
    </w:p>
    <w:p>
      <w:pPr>
        <w:widowControl/>
        <w:ind w:firstLine="640"/>
        <w:rPr>
          <w:rFonts w:cs="Times New Roman"/>
          <w:kern w:val="2"/>
          <w:sz w:val="32"/>
          <w:szCs w:val="32"/>
        </w:rPr>
      </w:pPr>
      <w:r>
        <w:rPr>
          <w:rFonts w:cs="Times New Roman"/>
          <w:kern w:val="2"/>
          <w:sz w:val="32"/>
          <w:szCs w:val="32"/>
        </w:rPr>
        <w:t>加大政策保障力度，按照本规划确定的目标和任务，研究制定规划实施的财政、金融、税收、价格、土地、人口、环保等相关配套政策，合理配置公共资源。加强宏观经济监测预警，完善宏观调控政策，把短期调控和长期发展政策有机结合起来，加强各项政策协调配合，确保规划有效实施。强化重大项目支撑，以规划带动项目建设，以项目促进规划落实，确立规划对重点项目布局的指导作用。</w:t>
      </w:r>
    </w:p>
    <w:p>
      <w:pPr>
        <w:pStyle w:val="44"/>
        <w:adjustRightInd/>
        <w:snapToGrid/>
        <w:spacing w:before="156" w:beforeLines="50" w:after="156" w:afterLines="50"/>
        <w:ind w:firstLine="0" w:firstLineChars="0"/>
        <w:jc w:val="center"/>
        <w:outlineLvl w:val="1"/>
        <w:rPr>
          <w:rFonts w:hint="eastAsia" w:ascii="楷体_GB2312" w:hAnsi="楷体_GB2312" w:eastAsia="楷体_GB2312" w:cs="楷体_GB2312"/>
          <w:bCs/>
          <w:sz w:val="32"/>
          <w:szCs w:val="32"/>
          <w:lang w:val="en-US" w:eastAsia="zh-CN"/>
        </w:rPr>
      </w:pPr>
      <w:bookmarkStart w:id="129" w:name="_Toc1073"/>
      <w:r>
        <w:rPr>
          <w:rFonts w:hint="eastAsia" w:ascii="楷体_GB2312" w:hAnsi="楷体_GB2312" w:eastAsia="楷体_GB2312" w:cs="楷体_GB2312"/>
          <w:bCs/>
          <w:sz w:val="32"/>
          <w:szCs w:val="32"/>
          <w:lang w:val="en-US" w:eastAsia="zh-CN"/>
        </w:rPr>
        <w:t>第四节 强化实施监督评估</w:t>
      </w:r>
      <w:bookmarkEnd w:id="129"/>
    </w:p>
    <w:p>
      <w:pPr>
        <w:widowControl/>
        <w:ind w:firstLine="640"/>
        <w:jc w:val="both"/>
        <w:rPr>
          <w:rFonts w:cs="Times New Roman"/>
          <w:kern w:val="2"/>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pPr>
      <w:r>
        <w:rPr>
          <w:rFonts w:cs="Times New Roman"/>
          <w:kern w:val="2"/>
          <w:sz w:val="32"/>
          <w:szCs w:val="32"/>
        </w:rPr>
        <w:t>全市国民经济和社会发展年度计划、财政预算计划要按本规划目标，明确年度目标</w:t>
      </w:r>
      <w:r>
        <w:rPr>
          <w:rFonts w:hint="eastAsia" w:cs="Times New Roman"/>
          <w:kern w:val="2"/>
          <w:sz w:val="32"/>
          <w:szCs w:val="32"/>
        </w:rPr>
        <w:t>，推动规划目标实现</w:t>
      </w:r>
      <w:r>
        <w:rPr>
          <w:rFonts w:cs="Times New Roman"/>
          <w:kern w:val="2"/>
          <w:sz w:val="32"/>
          <w:szCs w:val="32"/>
        </w:rPr>
        <w:t>。健全规划考核监督机制，</w:t>
      </w:r>
      <w:r>
        <w:rPr>
          <w:rFonts w:hint="eastAsia" w:cs="Times New Roman"/>
          <w:kern w:val="2"/>
          <w:sz w:val="32"/>
          <w:szCs w:val="32"/>
        </w:rPr>
        <w:t>将</w:t>
      </w:r>
      <w:r>
        <w:rPr>
          <w:rFonts w:cs="Times New Roman"/>
          <w:kern w:val="2"/>
          <w:sz w:val="32"/>
          <w:szCs w:val="32"/>
        </w:rPr>
        <w:t>规划实施情况纳入领导干部考核和经济责任离任审计</w:t>
      </w:r>
      <w:r>
        <w:rPr>
          <w:rFonts w:hint="eastAsia" w:cs="Times New Roman"/>
          <w:kern w:val="2"/>
          <w:sz w:val="32"/>
          <w:szCs w:val="32"/>
        </w:rPr>
        <w:t>范围</w:t>
      </w:r>
      <w:r>
        <w:rPr>
          <w:rFonts w:cs="Times New Roman"/>
          <w:kern w:val="2"/>
          <w:sz w:val="32"/>
          <w:szCs w:val="32"/>
        </w:rPr>
        <w:t>，加强人大、政协对规划实施行为的监督检查。在规划实施中期阶段，由市政府组织全面评估，并将中期评估报告提交市人大常委会审议。对本规划纲进行修订时，需报市人大常委会批准。广泛征求人大、政协和社会各界对规划实施的意见和建议，健全政府与企业、市民的信息沟通和交流机制，充分发挥新闻媒体和群众社团作用，加强社会对规划实施的监督，提高规划实施的民主化和透明度。</w:t>
      </w:r>
    </w:p>
    <w:p>
      <w:pPr>
        <w:ind w:left="0" w:leftChars="0" w:firstLine="0" w:firstLineChars="0"/>
        <w:rPr>
          <w:rFonts w:cs="Times New Roman"/>
          <w:kern w:val="2"/>
          <w:sz w:val="32"/>
          <w:szCs w:val="32"/>
        </w:rPr>
      </w:pPr>
      <w:r>
        <w:rPr>
          <w:rFonts w:hint="eastAsia" w:cs="Times New Roman"/>
          <w:kern w:val="2"/>
          <w:sz w:val="32"/>
          <w:szCs w:val="32"/>
          <w:lang w:val="en-US" w:eastAsia="zh-CN"/>
        </w:rPr>
        <w:t>附图：</w:t>
      </w:r>
    </w:p>
    <w:p>
      <w:r>
        <w:rPr>
          <w:rFonts w:ascii="仿宋" w:hAnsi="仿宋" w:eastAsia="仿宋"/>
          <w:sz w:val="28"/>
        </w:rPr>
        <w:drawing>
          <wp:anchor distT="0" distB="0" distL="0" distR="0" simplePos="0" relativeHeight="251667456" behindDoc="0" locked="0" layoutInCell="1" allowOverlap="1">
            <wp:simplePos x="0" y="0"/>
            <wp:positionH relativeFrom="column">
              <wp:posOffset>572135</wp:posOffset>
            </wp:positionH>
            <wp:positionV relativeFrom="paragraph">
              <wp:posOffset>9525</wp:posOffset>
            </wp:positionV>
            <wp:extent cx="3592830" cy="4311015"/>
            <wp:effectExtent l="0" t="0" r="7620" b="1333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2830" cy="4311015"/>
                    </a:xfrm>
                    <a:prstGeom prst="rect">
                      <a:avLst/>
                    </a:prstGeom>
                    <a:noFill/>
                    <a:ln>
                      <a:noFill/>
                    </a:ln>
                  </pic:spPr>
                </pic:pic>
              </a:graphicData>
            </a:graphic>
          </wp:anchor>
        </w:drawing>
      </w:r>
      <w:r>
        <w:rPr>
          <w:rFonts w:ascii="仿宋" w:hAnsi="仿宋" w:eastAsia="仿宋"/>
          <w:sz w:val="28"/>
        </w:rPr>
        <w:drawing>
          <wp:anchor distT="0" distB="0" distL="0" distR="0" simplePos="0" relativeHeight="251664384" behindDoc="0" locked="0" layoutInCell="1" allowOverlap="1">
            <wp:simplePos x="0" y="0"/>
            <wp:positionH relativeFrom="column">
              <wp:posOffset>4921250</wp:posOffset>
            </wp:positionH>
            <wp:positionV relativeFrom="paragraph">
              <wp:posOffset>148590</wp:posOffset>
            </wp:positionV>
            <wp:extent cx="3465830" cy="4048760"/>
            <wp:effectExtent l="9525" t="9525" r="10795" b="1841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65830" cy="4048760"/>
                    </a:xfrm>
                    <a:prstGeom prst="rect">
                      <a:avLst/>
                    </a:prstGeom>
                    <a:noFill/>
                    <a:ln>
                      <a:solidFill>
                        <a:sysClr val="windowText" lastClr="000000"/>
                      </a:solidFill>
                    </a:ln>
                  </pic:spPr>
                </pic:pic>
              </a:graphicData>
            </a:graphic>
          </wp:anchor>
        </w:drawing>
      </w:r>
    </w:p>
    <w:p>
      <w:pPr>
        <w:rPr>
          <w:rFonts w:cs="Times New Roman"/>
          <w:kern w:val="2"/>
          <w:sz w:val="32"/>
          <w:szCs w:val="32"/>
        </w:rPr>
      </w:pPr>
    </w:p>
    <w:p>
      <w:pPr>
        <w:pStyle w:val="10"/>
        <w:rPr>
          <w:rFonts w:cs="Times New Roman"/>
          <w:kern w:val="2"/>
          <w:sz w:val="32"/>
          <w:szCs w:val="32"/>
        </w:rPr>
      </w:pPr>
    </w:p>
    <w:p>
      <w:pPr>
        <w:rPr>
          <w:rFonts w:cs="Times New Roman"/>
          <w:kern w:val="2"/>
          <w:sz w:val="32"/>
          <w:szCs w:val="32"/>
        </w:rPr>
      </w:pPr>
    </w:p>
    <w:p>
      <w:pPr>
        <w:pStyle w:val="10"/>
        <w:rPr>
          <w:rFonts w:cs="Times New Roman"/>
          <w:kern w:val="2"/>
          <w:sz w:val="32"/>
          <w:szCs w:val="32"/>
        </w:rPr>
      </w:pPr>
    </w:p>
    <w:p>
      <w:pPr>
        <w:rPr>
          <w:rFonts w:cs="Times New Roman"/>
          <w:kern w:val="2"/>
          <w:sz w:val="32"/>
          <w:szCs w:val="32"/>
        </w:rPr>
      </w:pPr>
    </w:p>
    <w:p>
      <w:pPr>
        <w:pStyle w:val="10"/>
        <w:rPr>
          <w:rFonts w:cs="Times New Roman"/>
          <w:kern w:val="2"/>
          <w:sz w:val="32"/>
          <w:szCs w:val="32"/>
        </w:rPr>
      </w:pPr>
    </w:p>
    <w:p>
      <w:pPr>
        <w:rPr>
          <w:rFonts w:cs="Times New Roman"/>
          <w:kern w:val="2"/>
          <w:sz w:val="32"/>
          <w:szCs w:val="32"/>
        </w:rPr>
      </w:pPr>
    </w:p>
    <w:p>
      <w:pPr>
        <w:pStyle w:val="10"/>
        <w:rPr>
          <w:rFonts w:cs="Times New Roman"/>
          <w:kern w:val="2"/>
          <w:sz w:val="32"/>
          <w:szCs w:val="32"/>
        </w:rPr>
      </w:pPr>
    </w:p>
    <w:p>
      <w:pPr>
        <w:pStyle w:val="10"/>
      </w:pPr>
    </w:p>
    <w:p>
      <w:pPr>
        <w:pStyle w:val="10"/>
        <w:rPr>
          <w:rFonts w:cs="Times New Roman"/>
          <w:kern w:val="2"/>
          <w:sz w:val="32"/>
          <w:szCs w:val="32"/>
        </w:rPr>
      </w:pPr>
    </w:p>
    <w:p>
      <w:pPr>
        <w:jc w:val="both"/>
        <w:rPr>
          <w:rFonts w:cs="Times New Roman"/>
          <w:kern w:val="2"/>
          <w:sz w:val="32"/>
          <w:szCs w:val="32"/>
        </w:rPr>
      </w:pPr>
    </w:p>
    <w:p>
      <w:pPr>
        <w:pStyle w:val="10"/>
        <w:ind w:firstLine="1687" w:firstLineChars="600"/>
        <w:rPr>
          <w:rFonts w:ascii="仿宋" w:hAnsi="仿宋" w:eastAsia="仿宋"/>
          <w:sz w:val="28"/>
        </w:rPr>
      </w:pPr>
      <w:r>
        <w:rPr>
          <w:rFonts w:hint="eastAsia" w:ascii="仿宋" w:hAnsi="仿宋" w:eastAsia="仿宋"/>
          <w:b/>
          <w:bCs/>
          <w:sz w:val="28"/>
        </w:rPr>
        <w:t>“两区两带多廊”</w:t>
      </w:r>
      <w:r>
        <w:rPr>
          <w:rFonts w:hint="eastAsia" w:ascii="仿宋" w:hAnsi="仿宋" w:eastAsia="仿宋"/>
          <w:sz w:val="28"/>
        </w:rPr>
        <w:t>生态格局</w:t>
      </w:r>
      <w:r>
        <w:rPr>
          <w:rFonts w:hint="eastAsia" w:ascii="仿宋" w:hAnsi="仿宋" w:eastAsia="仿宋"/>
          <w:sz w:val="28"/>
          <w:lang w:val="en-US" w:eastAsia="zh-CN"/>
        </w:rPr>
        <w:t xml:space="preserve">                </w:t>
      </w:r>
      <w:r>
        <w:rPr>
          <w:rFonts w:hint="eastAsia" w:ascii="仿宋" w:hAnsi="仿宋" w:eastAsia="仿宋"/>
          <w:b/>
          <w:bCs/>
          <w:sz w:val="28"/>
        </w:rPr>
        <w:t>“一体两翼</w:t>
      </w:r>
      <w:bookmarkStart w:id="130" w:name="_Hlk62749027"/>
      <w:r>
        <w:rPr>
          <w:rFonts w:hint="eastAsia" w:ascii="仿宋" w:hAnsi="仿宋" w:eastAsia="仿宋"/>
          <w:b/>
          <w:bCs/>
          <w:sz w:val="28"/>
        </w:rPr>
        <w:t>多点</w:t>
      </w:r>
      <w:bookmarkEnd w:id="130"/>
      <w:r>
        <w:rPr>
          <w:rFonts w:hint="eastAsia" w:ascii="仿宋" w:hAnsi="仿宋" w:eastAsia="仿宋"/>
          <w:b/>
          <w:bCs/>
          <w:sz w:val="28"/>
        </w:rPr>
        <w:t>，一河两川一轴”</w:t>
      </w:r>
      <w:r>
        <w:rPr>
          <w:rFonts w:hint="eastAsia" w:ascii="仿宋" w:hAnsi="仿宋" w:eastAsia="仿宋"/>
          <w:sz w:val="28"/>
        </w:rPr>
        <w:t>城镇空间格局</w:t>
      </w:r>
    </w:p>
    <w:p>
      <w:pPr>
        <w:jc w:val="center"/>
        <w:rPr>
          <w:rFonts w:cs="Times New Roman"/>
          <w:kern w:val="2"/>
          <w:sz w:val="32"/>
          <w:szCs w:val="32"/>
        </w:rPr>
      </w:pPr>
      <w:r>
        <w:drawing>
          <wp:anchor distT="0" distB="0" distL="0" distR="0" simplePos="0" relativeHeight="251666432" behindDoc="0" locked="0" layoutInCell="1" allowOverlap="1">
            <wp:simplePos x="0" y="0"/>
            <wp:positionH relativeFrom="column">
              <wp:posOffset>347345</wp:posOffset>
            </wp:positionH>
            <wp:positionV relativeFrom="paragraph">
              <wp:posOffset>77470</wp:posOffset>
            </wp:positionV>
            <wp:extent cx="3520440" cy="46799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20440" cy="4679950"/>
                    </a:xfrm>
                    <a:prstGeom prst="rect">
                      <a:avLst/>
                    </a:prstGeom>
                    <a:noFill/>
                    <a:ln>
                      <a:noFill/>
                    </a:ln>
                  </pic:spPr>
                </pic:pic>
              </a:graphicData>
            </a:graphic>
          </wp:anchor>
        </w:drawing>
      </w:r>
      <w:r>
        <w:rPr>
          <w:rFonts w:ascii="仿宋" w:hAnsi="仿宋" w:eastAsia="仿宋"/>
          <w:sz w:val="28"/>
        </w:rPr>
        <w:drawing>
          <wp:anchor distT="0" distB="0" distL="0" distR="0" simplePos="0" relativeHeight="251665408" behindDoc="0" locked="0" layoutInCell="1" allowOverlap="1">
            <wp:simplePos x="0" y="0"/>
            <wp:positionH relativeFrom="column">
              <wp:posOffset>4718685</wp:posOffset>
            </wp:positionH>
            <wp:positionV relativeFrom="paragraph">
              <wp:posOffset>122555</wp:posOffset>
            </wp:positionV>
            <wp:extent cx="3829050" cy="4477385"/>
            <wp:effectExtent l="9525" t="9525" r="9525" b="279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829050" cy="4477385"/>
                    </a:xfrm>
                    <a:prstGeom prst="rect">
                      <a:avLst/>
                    </a:prstGeom>
                    <a:noFill/>
                    <a:ln>
                      <a:solidFill>
                        <a:schemeClr val="tx1"/>
                      </a:solidFill>
                    </a:ln>
                  </pic:spPr>
                </pic:pic>
              </a:graphicData>
            </a:graphic>
          </wp:anchor>
        </w:drawing>
      </w:r>
    </w:p>
    <w:p>
      <w:pPr>
        <w:pStyle w:val="10"/>
        <w:rPr>
          <w:rFonts w:cs="Times New Roman"/>
          <w:kern w:val="2"/>
          <w:sz w:val="32"/>
          <w:szCs w:val="32"/>
        </w:rPr>
      </w:pPr>
    </w:p>
    <w:p/>
    <w:p/>
    <w:p>
      <w:pPr>
        <w:pStyle w:val="10"/>
      </w:pPr>
    </w:p>
    <w:p/>
    <w:p>
      <w:pPr>
        <w:pStyle w:val="10"/>
      </w:pPr>
    </w:p>
    <w:p/>
    <w:p>
      <w:pPr>
        <w:pStyle w:val="10"/>
      </w:pPr>
    </w:p>
    <w:p/>
    <w:p>
      <w:pPr>
        <w:pStyle w:val="10"/>
      </w:pPr>
    </w:p>
    <w:p/>
    <w:p>
      <w:pPr>
        <w:autoSpaceDE w:val="0"/>
        <w:autoSpaceDN w:val="0"/>
        <w:adjustRightInd w:val="0"/>
        <w:spacing w:line="360" w:lineRule="auto"/>
        <w:ind w:left="840" w:leftChars="200" w:hanging="280" w:hangingChars="100"/>
        <w:jc w:val="left"/>
        <w:rPr>
          <w:rFonts w:hint="eastAsia"/>
          <w:lang w:eastAsia="zh-CN"/>
        </w:rPr>
      </w:pPr>
      <w:r>
        <w:rPr>
          <w:rFonts w:hint="eastAsia" w:ascii="仿宋" w:hAnsi="仿宋" w:eastAsia="仿宋"/>
          <w:sz w:val="28"/>
          <w:lang w:val="en-US" w:eastAsia="zh-CN"/>
        </w:rPr>
        <w:t xml:space="preserve">                     </w:t>
      </w:r>
      <w:r>
        <w:rPr>
          <w:rFonts w:hint="eastAsia" w:ascii="仿宋" w:hAnsi="仿宋" w:eastAsia="仿宋"/>
          <w:b/>
          <w:bCs/>
          <w:sz w:val="28"/>
        </w:rPr>
        <w:t>“三区两带两中心”</w:t>
      </w:r>
      <w:r>
        <w:rPr>
          <w:rFonts w:hint="eastAsia" w:ascii="仿宋" w:hAnsi="仿宋" w:eastAsia="仿宋"/>
          <w:sz w:val="28"/>
        </w:rPr>
        <w:t>农业</w:t>
      </w:r>
      <w:r>
        <w:rPr>
          <w:rFonts w:hint="eastAsia" w:ascii="仿宋" w:hAnsi="仿宋" w:eastAsia="仿宋"/>
          <w:sz w:val="28"/>
          <w:lang w:eastAsia="zh-CN"/>
        </w:rPr>
        <w:t>空间</w:t>
      </w:r>
      <w:r>
        <w:rPr>
          <w:rFonts w:hint="eastAsia" w:ascii="仿宋" w:hAnsi="仿宋" w:eastAsia="仿宋"/>
          <w:sz w:val="28"/>
        </w:rPr>
        <w:t>格局</w:t>
      </w:r>
      <w:r>
        <w:rPr>
          <w:rFonts w:hint="eastAsia" w:ascii="仿宋" w:hAnsi="仿宋" w:eastAsia="仿宋"/>
          <w:sz w:val="28"/>
          <w:lang w:val="en-US" w:eastAsia="zh-CN"/>
        </w:rPr>
        <w:t xml:space="preserve">                      </w:t>
      </w:r>
      <w:r>
        <w:rPr>
          <w:rFonts w:hint="eastAsia" w:ascii="仿宋" w:hAnsi="仿宋" w:eastAsia="仿宋"/>
          <w:b/>
          <w:bCs/>
          <w:sz w:val="28"/>
        </w:rPr>
        <w:t>“三区六园，两带一廊”</w:t>
      </w:r>
      <w:r>
        <w:rPr>
          <w:rFonts w:hint="eastAsia" w:ascii="仿宋" w:hAnsi="仿宋" w:eastAsia="仿宋"/>
          <w:sz w:val="28"/>
        </w:rPr>
        <w:t>产业发展格局</w: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hapStyle="1"/>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ind w:firstLine="36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- 20 -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仿宋_GB2312"/>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- 20 -</w:t>
                    </w:r>
                    <w:r>
                      <w:rPr>
                        <w:rFonts w:hint="eastAsia" w:ascii="宋体" w:hAnsi="宋体" w:eastAsia="宋体" w:cs="宋体"/>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4">
    <w:p>
      <w:pPr>
        <w:spacing w:line="240" w:lineRule="auto"/>
        <w:ind w:firstLine="560"/>
      </w:pPr>
      <w:r>
        <w:separator/>
      </w:r>
    </w:p>
  </w:footnote>
  <w:footnote w:type="continuationSeparator" w:id="45">
    <w:p>
      <w:pPr>
        <w:spacing w:line="240" w:lineRule="auto"/>
        <w:ind w:firstLine="560"/>
      </w:pPr>
      <w:r>
        <w:continuationSeparator/>
      </w:r>
    </w:p>
  </w:footnote>
  <w:footnote w:id="0">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afterAutospacing="0" w:line="240" w:lineRule="auto"/>
        <w:ind w:left="0" w:right="0" w:firstLine="0"/>
        <w:jc w:val="both"/>
        <w:textAlignment w:val="auto"/>
        <w:rPr>
          <w:rFonts w:hint="default" w:ascii="Arial" w:hAnsi="Arial" w:eastAsia="宋体" w:cs="Arial"/>
          <w:b w:val="0"/>
          <w:i w:val="0"/>
          <w:caps w:val="0"/>
          <w:color w:val="333333"/>
          <w:spacing w:val="0"/>
          <w:sz w:val="18"/>
          <w:szCs w:val="18"/>
          <w:shd w:val="clear" w:fill="FFFFFF"/>
          <w:lang w:val="en-US" w:eastAsia="zh-CN"/>
        </w:rPr>
      </w:pPr>
      <w:r>
        <w:rPr>
          <w:rStyle w:val="37"/>
          <w:rFonts w:hint="default" w:ascii="宋体" w:hAnsi="宋体" w:eastAsia="宋体" w:cs="宋体"/>
          <w:sz w:val="21"/>
          <w:szCs w:val="22"/>
          <w:lang w:val="en-US" w:eastAsia="zh-CN"/>
        </w:rPr>
        <w:footnoteRef/>
      </w:r>
      <w:r>
        <w:rPr>
          <w:rFonts w:hint="default" w:ascii="Arial" w:hAnsi="Arial" w:eastAsia="宋体" w:cs="Arial"/>
          <w:b w:val="0"/>
          <w:i w:val="0"/>
          <w:caps w:val="0"/>
          <w:color w:val="333333"/>
          <w:spacing w:val="0"/>
          <w:sz w:val="18"/>
          <w:szCs w:val="18"/>
          <w:shd w:val="clear" w:fill="FFFFFF"/>
          <w:lang w:val="en-US" w:eastAsia="zh-CN"/>
        </w:rPr>
        <w:t>一山二水三城</w:t>
      </w:r>
      <w:r>
        <w:rPr>
          <w:rFonts w:hint="eastAsia" w:ascii="Arial" w:hAnsi="Arial" w:eastAsia="宋体" w:cs="Arial"/>
          <w:b w:val="0"/>
          <w:i w:val="0"/>
          <w:caps w:val="0"/>
          <w:color w:val="333333"/>
          <w:spacing w:val="0"/>
          <w:sz w:val="18"/>
          <w:szCs w:val="18"/>
          <w:shd w:val="clear" w:fill="FFFFFF"/>
          <w:lang w:val="en-US" w:eastAsia="zh-CN"/>
        </w:rPr>
        <w:t>：二郎山，黄河、红碱淖，石峁（高家堡）、杨家城、古城。</w:t>
      </w:r>
    </w:p>
  </w:footnote>
  <w:footnote w:id="1">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eastAsia="zh-CN"/>
        </w:rPr>
      </w:pPr>
      <w:r>
        <w:rPr>
          <w:rStyle w:val="37"/>
        </w:rPr>
        <w:footnoteRef/>
      </w:r>
      <w:r>
        <w:rPr>
          <w:rFonts w:hint="eastAsia" w:ascii="宋体" w:hAnsi="宋体" w:eastAsia="宋体" w:cs="宋体"/>
          <w:sz w:val="18"/>
          <w:szCs w:val="18"/>
          <w:lang w:eastAsia="zh-CN"/>
        </w:rPr>
        <w:t>四好农村路：</w:t>
      </w:r>
      <w:r>
        <w:rPr>
          <w:rFonts w:hint="eastAsia" w:ascii="宋体" w:hAnsi="宋体" w:eastAsia="宋体" w:cs="宋体"/>
          <w:b w:val="0"/>
          <w:i w:val="0"/>
          <w:caps w:val="0"/>
          <w:color w:val="333333"/>
          <w:spacing w:val="0"/>
          <w:sz w:val="18"/>
          <w:szCs w:val="18"/>
          <w:shd w:val="clear" w:fill="FFFFFF"/>
        </w:rPr>
        <w:t>建好、管好、护好、运营好</w:t>
      </w:r>
      <w:r>
        <w:rPr>
          <w:rFonts w:hint="eastAsia" w:ascii="宋体" w:hAnsi="宋体" w:eastAsia="宋体" w:cs="宋体"/>
          <w:b w:val="0"/>
          <w:i w:val="0"/>
          <w:caps w:val="0"/>
          <w:color w:val="333333"/>
          <w:spacing w:val="0"/>
          <w:sz w:val="18"/>
          <w:szCs w:val="18"/>
          <w:shd w:val="clear" w:fill="FFFFFF"/>
          <w:lang w:eastAsia="zh-CN"/>
        </w:rPr>
        <w:t>农村公路。</w:t>
      </w:r>
    </w:p>
  </w:footnote>
  <w:footnote w:id="2">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afterAutospacing="0" w:line="240" w:lineRule="auto"/>
        <w:ind w:left="0" w:right="0" w:firstLine="0"/>
        <w:jc w:val="both"/>
        <w:textAlignment w:val="auto"/>
        <w:rPr>
          <w:rStyle w:val="37"/>
          <w:rFonts w:hint="eastAsia" w:ascii="宋体" w:hAnsi="宋体" w:eastAsia="宋体" w:cs="宋体"/>
          <w:sz w:val="21"/>
          <w:szCs w:val="22"/>
          <w:lang w:val="en-US" w:eastAsia="zh-CN"/>
        </w:rPr>
      </w:pPr>
      <w:r>
        <w:rPr>
          <w:rStyle w:val="37"/>
          <w:rFonts w:ascii="宋体" w:hAnsi="宋体" w:eastAsia="宋体" w:cs="宋体"/>
          <w:sz w:val="21"/>
          <w:szCs w:val="22"/>
        </w:rPr>
        <w:footnoteRef/>
      </w:r>
      <w:r>
        <w:rPr>
          <w:rFonts w:hint="eastAsia" w:ascii="Arial" w:hAnsi="Arial" w:eastAsia="宋体" w:cs="Arial"/>
          <w:b w:val="0"/>
          <w:i w:val="0"/>
          <w:caps w:val="0"/>
          <w:color w:val="333333"/>
          <w:spacing w:val="0"/>
          <w:sz w:val="18"/>
          <w:szCs w:val="18"/>
          <w:shd w:val="clear" w:fill="FFFFFF"/>
          <w:lang w:val="en-US" w:eastAsia="zh-CN"/>
        </w:rPr>
        <w:t>四大保卫战：蓝天、碧水、净土、青山保卫战。</w:t>
      </w:r>
    </w:p>
  </w:footnote>
  <w:footnote w:id="3">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Style w:val="37"/>
        </w:rPr>
        <w:footnoteRef/>
      </w:r>
      <w:r>
        <w:rPr>
          <w:rFonts w:hint="default" w:ascii="Arial" w:hAnsi="Arial" w:eastAsia="宋体" w:cs="Arial"/>
          <w:b w:val="0"/>
          <w:i w:val="0"/>
          <w:caps w:val="0"/>
          <w:color w:val="333333"/>
          <w:spacing w:val="0"/>
          <w:sz w:val="18"/>
          <w:szCs w:val="18"/>
          <w:shd w:val="clear" w:fill="FFFFFF"/>
          <w:lang w:val="en-US" w:eastAsia="zh-CN"/>
        </w:rPr>
        <w:t>碳达峰</w:t>
      </w:r>
      <w:r>
        <w:rPr>
          <w:rFonts w:hint="eastAsia" w:ascii="Arial" w:hAnsi="Arial" w:eastAsia="宋体" w:cs="Arial"/>
          <w:b w:val="0"/>
          <w:i w:val="0"/>
          <w:caps w:val="0"/>
          <w:color w:val="333333"/>
          <w:spacing w:val="0"/>
          <w:sz w:val="18"/>
          <w:szCs w:val="18"/>
          <w:shd w:val="clear" w:fill="FFFFFF"/>
          <w:lang w:val="en-US" w:eastAsia="zh-CN"/>
        </w:rPr>
        <w:t>：</w:t>
      </w:r>
      <w:r>
        <w:rPr>
          <w:rFonts w:hint="default" w:ascii="Arial" w:hAnsi="Arial" w:eastAsia="宋体" w:cs="Arial"/>
          <w:b w:val="0"/>
          <w:i w:val="0"/>
          <w:caps w:val="0"/>
          <w:color w:val="333333"/>
          <w:spacing w:val="0"/>
          <w:sz w:val="18"/>
          <w:szCs w:val="18"/>
          <w:shd w:val="clear" w:fill="FFFFFF"/>
          <w:lang w:val="en-US" w:eastAsia="zh-CN"/>
        </w:rPr>
        <w:t>二氧化碳的排放达到峰值。</w:t>
      </w:r>
    </w:p>
  </w:footnote>
  <w:footnote w:id="4">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pPr>
      <w:r>
        <w:rPr>
          <w:rStyle w:val="37"/>
        </w:rPr>
        <w:footnoteRef/>
      </w:r>
      <w:r>
        <w:rPr>
          <w:rFonts w:hint="eastAsia" w:ascii="宋体" w:hAnsi="宋体" w:eastAsia="宋体" w:cs="宋体"/>
          <w:b w:val="0"/>
          <w:i w:val="0"/>
          <w:caps w:val="0"/>
          <w:color w:val="333333"/>
          <w:spacing w:val="0"/>
          <w:sz w:val="18"/>
          <w:szCs w:val="18"/>
          <w:u w:val="none"/>
          <w:shd w:val="clear" w:fill="FFFFFF"/>
          <w:lang w:eastAsia="zh-CN"/>
        </w:rPr>
        <w:t>碳中和：</w:t>
      </w:r>
      <w:r>
        <w:rPr>
          <w:rFonts w:hint="eastAsia" w:ascii="宋体" w:hAnsi="宋体" w:eastAsia="宋体" w:cs="宋体"/>
          <w:b w:val="0"/>
          <w:i w:val="0"/>
          <w:caps w:val="0"/>
          <w:color w:val="333333"/>
          <w:spacing w:val="0"/>
          <w:sz w:val="18"/>
          <w:szCs w:val="18"/>
          <w:shd w:val="clear" w:fill="FFFFFF"/>
          <w:lang w:val="en-US" w:eastAsia="zh-CN"/>
        </w:rPr>
        <w:t>国家、企业、产品、活动或个人在一定时间内直接或间接产生的二氧化碳或温室气体排放总量，通过植树造林、节能减排等形式，以抵消自身产生的二氧化碳或温室气体排放量，实现正负抵消，达到相对“零排放”。</w:t>
      </w:r>
    </w:p>
  </w:footnote>
  <w:footnote w:id="5">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afterAutospacing="0" w:line="240" w:lineRule="auto"/>
        <w:ind w:left="0" w:right="0" w:firstLine="0"/>
        <w:jc w:val="both"/>
        <w:textAlignment w:val="auto"/>
      </w:pPr>
      <w:r>
        <w:rPr>
          <w:rStyle w:val="37"/>
        </w:rPr>
        <w:footnoteRef/>
      </w:r>
      <w:r>
        <w:rPr>
          <w:rFonts w:hint="eastAsia" w:ascii="宋体" w:hAnsi="宋体" w:eastAsia="宋体" w:cs="宋体"/>
          <w:b w:val="0"/>
          <w:i w:val="0"/>
          <w:caps w:val="0"/>
          <w:color w:val="333333"/>
          <w:spacing w:val="0"/>
          <w:sz w:val="18"/>
          <w:szCs w:val="18"/>
          <w:shd w:val="clear" w:fill="FFFFFF"/>
          <w:lang w:val="en-US" w:eastAsia="zh-CN"/>
        </w:rPr>
        <w:t>五个扎实：</w:t>
      </w:r>
      <w:r>
        <w:rPr>
          <w:rFonts w:hint="eastAsia" w:ascii="宋体" w:hAnsi="宋体" w:eastAsia="宋体" w:cs="宋体"/>
          <w:b w:val="0"/>
          <w:i w:val="0"/>
          <w:caps w:val="0"/>
          <w:color w:val="333333"/>
          <w:spacing w:val="0"/>
          <w:sz w:val="18"/>
          <w:szCs w:val="18"/>
          <w:shd w:val="clear" w:fill="FFFFFF"/>
        </w:rPr>
        <w:t>扎实推进经济持续健康发展</w:t>
      </w:r>
      <w:r>
        <w:rPr>
          <w:rFonts w:hint="eastAsia" w:ascii="宋体" w:hAnsi="宋体" w:eastAsia="宋体" w:cs="宋体"/>
          <w:b w:val="0"/>
          <w:i w:val="0"/>
          <w:caps w:val="0"/>
          <w:color w:val="333333"/>
          <w:spacing w:val="0"/>
          <w:sz w:val="18"/>
          <w:szCs w:val="18"/>
          <w:shd w:val="clear" w:fill="FFFFFF"/>
          <w:lang w:eastAsia="zh-CN"/>
        </w:rPr>
        <w:t>、</w:t>
      </w:r>
      <w:r>
        <w:rPr>
          <w:rFonts w:hint="eastAsia" w:ascii="宋体" w:hAnsi="宋体" w:eastAsia="宋体" w:cs="宋体"/>
          <w:b w:val="0"/>
          <w:i w:val="0"/>
          <w:caps w:val="0"/>
          <w:color w:val="333333"/>
          <w:spacing w:val="0"/>
          <w:sz w:val="18"/>
          <w:szCs w:val="18"/>
          <w:shd w:val="clear" w:fill="FFFFFF"/>
        </w:rPr>
        <w:t>扎实推进</w:t>
      </w:r>
      <w:r>
        <w:rPr>
          <w:rFonts w:hint="eastAsia" w:ascii="宋体" w:hAnsi="宋体" w:eastAsia="宋体" w:cs="宋体"/>
          <w:b w:val="0"/>
          <w:i w:val="0"/>
          <w:caps w:val="0"/>
          <w:color w:val="333333"/>
          <w:spacing w:val="0"/>
          <w:sz w:val="18"/>
          <w:szCs w:val="18"/>
          <w:u w:val="none"/>
          <w:shd w:val="clear" w:fill="FFFFFF"/>
        </w:rPr>
        <w:fldChar w:fldCharType="begin"/>
      </w:r>
      <w:r>
        <w:rPr>
          <w:rFonts w:hint="eastAsia" w:ascii="宋体" w:hAnsi="宋体" w:eastAsia="宋体" w:cs="宋体"/>
          <w:b w:val="0"/>
          <w:i w:val="0"/>
          <w:caps w:val="0"/>
          <w:color w:val="333333"/>
          <w:spacing w:val="0"/>
          <w:sz w:val="18"/>
          <w:szCs w:val="18"/>
          <w:u w:val="none"/>
          <w:shd w:val="clear" w:fill="FFFFFF"/>
        </w:rPr>
        <w:instrText xml:space="preserve"> HYPERLINK "https://wenwen.sogou.com/s/?w=%E5%86%9C%E4%B8%9A%E7%8E%B0%E4%BB%A3%E5%8C%96&amp;ch=ww.xqy.chain" \t "https://wenwen.sogou.com/z/_blank" </w:instrText>
      </w:r>
      <w:r>
        <w:rPr>
          <w:rFonts w:hint="eastAsia" w:ascii="宋体" w:hAnsi="宋体" w:eastAsia="宋体" w:cs="宋体"/>
          <w:b w:val="0"/>
          <w:i w:val="0"/>
          <w:caps w:val="0"/>
          <w:color w:val="333333"/>
          <w:spacing w:val="0"/>
          <w:sz w:val="18"/>
          <w:szCs w:val="18"/>
          <w:u w:val="none"/>
          <w:shd w:val="clear" w:fill="FFFFFF"/>
        </w:rPr>
        <w:fldChar w:fldCharType="separate"/>
      </w:r>
      <w:r>
        <w:rPr>
          <w:rStyle w:val="34"/>
          <w:rFonts w:hint="eastAsia" w:ascii="宋体" w:hAnsi="宋体" w:eastAsia="宋体" w:cs="宋体"/>
          <w:b w:val="0"/>
          <w:i w:val="0"/>
          <w:caps w:val="0"/>
          <w:color w:val="333333"/>
          <w:spacing w:val="0"/>
          <w:sz w:val="18"/>
          <w:szCs w:val="18"/>
          <w:u w:val="none"/>
          <w:shd w:val="clear" w:fill="FFFFFF"/>
        </w:rPr>
        <w:t>农业现代化</w:t>
      </w:r>
      <w:r>
        <w:rPr>
          <w:rFonts w:hint="eastAsia" w:ascii="宋体" w:hAnsi="宋体" w:eastAsia="宋体" w:cs="宋体"/>
          <w:b w:val="0"/>
          <w:i w:val="0"/>
          <w:caps w:val="0"/>
          <w:color w:val="333333"/>
          <w:spacing w:val="0"/>
          <w:sz w:val="18"/>
          <w:szCs w:val="18"/>
          <w:u w:val="none"/>
          <w:shd w:val="clear" w:fill="FFFFFF"/>
        </w:rPr>
        <w:fldChar w:fldCharType="end"/>
      </w:r>
      <w:r>
        <w:rPr>
          <w:rFonts w:hint="eastAsia" w:ascii="宋体" w:hAnsi="宋体" w:eastAsia="宋体" w:cs="宋体"/>
          <w:b w:val="0"/>
          <w:i w:val="0"/>
          <w:caps w:val="0"/>
          <w:color w:val="333333"/>
          <w:spacing w:val="0"/>
          <w:sz w:val="18"/>
          <w:szCs w:val="18"/>
          <w:shd w:val="clear" w:fill="FFFFFF"/>
        </w:rPr>
        <w:t>建设</w:t>
      </w:r>
      <w:r>
        <w:rPr>
          <w:rFonts w:hint="eastAsia" w:ascii="宋体" w:hAnsi="宋体" w:eastAsia="宋体" w:cs="宋体"/>
          <w:b w:val="0"/>
          <w:i w:val="0"/>
          <w:caps w:val="0"/>
          <w:color w:val="333333"/>
          <w:spacing w:val="0"/>
          <w:sz w:val="18"/>
          <w:szCs w:val="18"/>
          <w:shd w:val="clear" w:fill="FFFFFF"/>
          <w:lang w:eastAsia="zh-CN"/>
        </w:rPr>
        <w:t>、</w:t>
      </w:r>
      <w:r>
        <w:rPr>
          <w:rFonts w:hint="eastAsia" w:ascii="宋体" w:hAnsi="宋体" w:eastAsia="宋体" w:cs="宋体"/>
          <w:b w:val="0"/>
          <w:i w:val="0"/>
          <w:caps w:val="0"/>
          <w:color w:val="333333"/>
          <w:spacing w:val="0"/>
          <w:sz w:val="18"/>
          <w:szCs w:val="18"/>
          <w:shd w:val="clear" w:fill="FFFFFF"/>
        </w:rPr>
        <w:t>扎实加强文化建设</w:t>
      </w:r>
      <w:r>
        <w:rPr>
          <w:rFonts w:hint="eastAsia" w:ascii="宋体" w:hAnsi="宋体" w:eastAsia="宋体" w:cs="宋体"/>
          <w:b w:val="0"/>
          <w:i w:val="0"/>
          <w:caps w:val="0"/>
          <w:color w:val="333333"/>
          <w:spacing w:val="0"/>
          <w:sz w:val="18"/>
          <w:szCs w:val="18"/>
          <w:shd w:val="clear" w:fill="FFFFFF"/>
          <w:lang w:eastAsia="zh-CN"/>
        </w:rPr>
        <w:t>、</w:t>
      </w:r>
      <w:r>
        <w:rPr>
          <w:rFonts w:hint="eastAsia" w:ascii="宋体" w:hAnsi="宋体" w:eastAsia="宋体" w:cs="宋体"/>
          <w:b w:val="0"/>
          <w:i w:val="0"/>
          <w:caps w:val="0"/>
          <w:color w:val="333333"/>
          <w:spacing w:val="0"/>
          <w:sz w:val="18"/>
          <w:szCs w:val="18"/>
          <w:shd w:val="clear" w:fill="FFFFFF"/>
        </w:rPr>
        <w:t>扎实做好保障和改善民生工作</w:t>
      </w:r>
      <w:r>
        <w:rPr>
          <w:rFonts w:hint="eastAsia" w:ascii="宋体" w:hAnsi="宋体" w:eastAsia="宋体" w:cs="宋体"/>
          <w:b w:val="0"/>
          <w:i w:val="0"/>
          <w:caps w:val="0"/>
          <w:color w:val="333333"/>
          <w:spacing w:val="0"/>
          <w:sz w:val="18"/>
          <w:szCs w:val="18"/>
          <w:shd w:val="clear" w:fill="FFFFFF"/>
          <w:lang w:eastAsia="zh-CN"/>
        </w:rPr>
        <w:t>、</w:t>
      </w:r>
      <w:r>
        <w:rPr>
          <w:rFonts w:hint="eastAsia" w:ascii="宋体" w:hAnsi="宋体" w:eastAsia="宋体" w:cs="宋体"/>
          <w:b w:val="0"/>
          <w:i w:val="0"/>
          <w:caps w:val="0"/>
          <w:color w:val="333333"/>
          <w:spacing w:val="0"/>
          <w:sz w:val="18"/>
          <w:szCs w:val="18"/>
          <w:shd w:val="clear" w:fill="FFFFFF"/>
        </w:rPr>
        <w:t>扎实</w:t>
      </w:r>
      <w:r>
        <w:rPr>
          <w:rFonts w:hint="eastAsia" w:ascii="宋体" w:hAnsi="宋体" w:eastAsia="宋体" w:cs="宋体"/>
          <w:b w:val="0"/>
          <w:i w:val="0"/>
          <w:caps w:val="0"/>
          <w:color w:val="333333"/>
          <w:spacing w:val="0"/>
          <w:sz w:val="18"/>
          <w:szCs w:val="18"/>
          <w:u w:val="none"/>
          <w:shd w:val="clear" w:fill="FFFFFF"/>
        </w:rPr>
        <w:fldChar w:fldCharType="begin"/>
      </w:r>
      <w:r>
        <w:rPr>
          <w:rFonts w:hint="eastAsia" w:ascii="宋体" w:hAnsi="宋体" w:eastAsia="宋体" w:cs="宋体"/>
          <w:b w:val="0"/>
          <w:i w:val="0"/>
          <w:caps w:val="0"/>
          <w:color w:val="333333"/>
          <w:spacing w:val="0"/>
          <w:sz w:val="18"/>
          <w:szCs w:val="18"/>
          <w:u w:val="none"/>
          <w:shd w:val="clear" w:fill="FFFFFF"/>
        </w:rPr>
        <w:instrText xml:space="preserve"> HYPERLINK "https://wenwen.sogou.com/s/?w=%E8%90%BD%E5%AE%9E%E5%85%A8%E9%9D%A2%E4%BB%8E%E4%B8%A5%E6%B2%BB%E5%85%9A&amp;ch=ww.xqy.chain" \t "https://wenwen.sogou.com/z/_blank" </w:instrText>
      </w:r>
      <w:r>
        <w:rPr>
          <w:rFonts w:hint="eastAsia" w:ascii="宋体" w:hAnsi="宋体" w:eastAsia="宋体" w:cs="宋体"/>
          <w:b w:val="0"/>
          <w:i w:val="0"/>
          <w:caps w:val="0"/>
          <w:color w:val="333333"/>
          <w:spacing w:val="0"/>
          <w:sz w:val="18"/>
          <w:szCs w:val="18"/>
          <w:u w:val="none"/>
          <w:shd w:val="clear" w:fill="FFFFFF"/>
        </w:rPr>
        <w:fldChar w:fldCharType="separate"/>
      </w:r>
      <w:r>
        <w:rPr>
          <w:rStyle w:val="34"/>
          <w:rFonts w:hint="eastAsia" w:ascii="宋体" w:hAnsi="宋体" w:eastAsia="宋体" w:cs="宋体"/>
          <w:b w:val="0"/>
          <w:i w:val="0"/>
          <w:caps w:val="0"/>
          <w:color w:val="333333"/>
          <w:spacing w:val="0"/>
          <w:sz w:val="18"/>
          <w:szCs w:val="18"/>
          <w:u w:val="none"/>
          <w:shd w:val="clear" w:fill="FFFFFF"/>
        </w:rPr>
        <w:t>落实全面从严治党</w:t>
      </w:r>
      <w:r>
        <w:rPr>
          <w:rFonts w:hint="eastAsia" w:ascii="宋体" w:hAnsi="宋体" w:eastAsia="宋体" w:cs="宋体"/>
          <w:b w:val="0"/>
          <w:i w:val="0"/>
          <w:caps w:val="0"/>
          <w:color w:val="333333"/>
          <w:spacing w:val="0"/>
          <w:sz w:val="18"/>
          <w:szCs w:val="18"/>
          <w:u w:val="none"/>
          <w:shd w:val="clear" w:fill="FFFFFF"/>
        </w:rPr>
        <w:fldChar w:fldCharType="end"/>
      </w:r>
      <w:r>
        <w:rPr>
          <w:rFonts w:hint="eastAsia" w:ascii="宋体" w:hAnsi="宋体" w:eastAsia="宋体" w:cs="宋体"/>
          <w:b w:val="0"/>
          <w:i w:val="0"/>
          <w:caps w:val="0"/>
          <w:color w:val="333333"/>
          <w:spacing w:val="0"/>
          <w:sz w:val="18"/>
          <w:szCs w:val="18"/>
          <w:u w:val="none"/>
          <w:shd w:val="clear" w:fill="FFFFFF"/>
          <w:lang w:eastAsia="zh-CN"/>
        </w:rPr>
        <w:t>。</w:t>
      </w:r>
    </w:p>
  </w:footnote>
  <w:footnote w:id="6">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afterAutospacing="0" w:line="240" w:lineRule="auto"/>
        <w:ind w:left="0" w:right="0" w:firstLine="0"/>
        <w:jc w:val="both"/>
        <w:textAlignment w:val="auto"/>
        <w:rPr>
          <w:rFonts w:hint="default" w:ascii="Arial" w:hAnsi="Arial" w:eastAsia="宋体" w:cs="Arial"/>
          <w:b w:val="0"/>
          <w:i w:val="0"/>
          <w:caps w:val="0"/>
          <w:color w:val="333333"/>
          <w:spacing w:val="0"/>
          <w:sz w:val="18"/>
          <w:szCs w:val="18"/>
          <w:u w:val="none"/>
          <w:shd w:val="clear" w:fill="FFFFFF"/>
          <w:lang w:val="en-US" w:eastAsia="zh-CN"/>
        </w:rPr>
      </w:pPr>
      <w:r>
        <w:rPr>
          <w:rStyle w:val="37"/>
          <w:rFonts w:hint="eastAsia" w:ascii="宋体" w:hAnsi="宋体" w:eastAsia="宋体" w:cs="宋体"/>
          <w:kern w:val="0"/>
          <w:sz w:val="21"/>
          <w:szCs w:val="22"/>
          <w:lang w:val="en-US" w:eastAsia="zh-CN" w:bidi="ar"/>
        </w:rPr>
        <w:footnoteRef/>
      </w:r>
      <w:r>
        <w:rPr>
          <w:rFonts w:hint="eastAsia" w:ascii="Arial" w:hAnsi="Arial" w:eastAsia="宋体" w:cs="Arial"/>
          <w:b w:val="0"/>
          <w:i w:val="0"/>
          <w:caps w:val="0"/>
          <w:color w:val="333333"/>
          <w:spacing w:val="0"/>
          <w:kern w:val="0"/>
          <w:sz w:val="18"/>
          <w:szCs w:val="18"/>
          <w:shd w:val="clear" w:fill="FFFFFF"/>
          <w:lang w:val="en-US" w:eastAsia="zh-CN" w:bidi="ar"/>
        </w:rPr>
        <w:t>五项要求：</w:t>
      </w:r>
      <w:r>
        <w:rPr>
          <w:rFonts w:hint="default" w:ascii="Arial" w:hAnsi="Arial" w:eastAsia="宋体" w:cs="Arial"/>
          <w:b w:val="0"/>
          <w:i w:val="0"/>
          <w:caps w:val="0"/>
          <w:color w:val="333333"/>
          <w:spacing w:val="0"/>
          <w:kern w:val="0"/>
          <w:sz w:val="18"/>
          <w:szCs w:val="18"/>
          <w:shd w:val="clear" w:fill="FFFFFF"/>
          <w:lang w:val="en-US" w:eastAsia="zh-CN" w:bidi="ar"/>
        </w:rPr>
        <w:t>推动</w:t>
      </w:r>
      <w:r>
        <w:rPr>
          <w:rFonts w:hint="default" w:ascii="Arial" w:hAnsi="Arial" w:eastAsia="宋体" w:cs="Arial"/>
          <w:b w:val="0"/>
          <w:i w:val="0"/>
          <w:caps w:val="0"/>
          <w:color w:val="333333"/>
          <w:spacing w:val="0"/>
          <w:sz w:val="18"/>
          <w:szCs w:val="18"/>
          <w:shd w:val="clear" w:fill="FFFFFF"/>
          <w:lang w:val="en-US" w:eastAsia="zh-CN"/>
        </w:rPr>
        <w:t>经济高质量发展迈出更大步伐、打造内陆改革开放高地、推动生态环境质量持续好转、加强民生保障和社会建</w:t>
      </w:r>
      <w:r>
        <w:rPr>
          <w:rFonts w:hint="default" w:ascii="Arial" w:hAnsi="Arial" w:eastAsia="宋体" w:cs="Arial"/>
          <w:b w:val="0"/>
          <w:i w:val="0"/>
          <w:caps w:val="0"/>
          <w:color w:val="333333"/>
          <w:spacing w:val="0"/>
          <w:sz w:val="18"/>
          <w:szCs w:val="18"/>
          <w:u w:val="none"/>
          <w:shd w:val="clear" w:fill="FFFFFF"/>
          <w:lang w:val="en-US" w:eastAsia="zh-CN"/>
        </w:rPr>
        <w:t>设、推动全面从严治党向纵深发展</w:t>
      </w:r>
      <w:r>
        <w:rPr>
          <w:rFonts w:hint="eastAsia" w:ascii="Arial" w:hAnsi="Arial" w:eastAsia="宋体" w:cs="Arial"/>
          <w:b w:val="0"/>
          <w:i w:val="0"/>
          <w:caps w:val="0"/>
          <w:color w:val="333333"/>
          <w:spacing w:val="0"/>
          <w:sz w:val="18"/>
          <w:szCs w:val="18"/>
          <w:u w:val="none"/>
          <w:shd w:val="clear" w:fill="FFFFFF"/>
          <w:lang w:val="en-US" w:eastAsia="zh-CN"/>
        </w:rPr>
        <w:t>。</w:t>
      </w:r>
    </w:p>
  </w:footnote>
  <w:footnote w:id="7">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afterAutospacing="0" w:line="240" w:lineRule="auto"/>
        <w:ind w:left="0" w:right="0" w:firstLine="0"/>
        <w:jc w:val="both"/>
        <w:textAlignment w:val="auto"/>
        <w:rPr>
          <w:rFonts w:hint="default" w:ascii="Arial" w:hAnsi="Arial" w:eastAsia="宋体" w:cs="Arial"/>
          <w:b w:val="0"/>
          <w:i w:val="0"/>
          <w:caps w:val="0"/>
          <w:color w:val="333333"/>
          <w:spacing w:val="0"/>
          <w:sz w:val="18"/>
          <w:szCs w:val="18"/>
          <w:u w:val="none"/>
          <w:shd w:val="clear" w:fill="FFFFFF"/>
        </w:rPr>
      </w:pPr>
      <w:r>
        <w:rPr>
          <w:rStyle w:val="37"/>
          <w:rFonts w:hint="default" w:ascii="宋体" w:hAnsi="宋体" w:eastAsia="宋体" w:cs="宋体"/>
          <w:kern w:val="0"/>
          <w:sz w:val="21"/>
          <w:szCs w:val="22"/>
          <w:lang w:val="en-US" w:eastAsia="zh-CN" w:bidi="ar"/>
        </w:rPr>
        <w:footnoteRef/>
      </w:r>
      <w:r>
        <w:rPr>
          <w:rFonts w:hint="eastAsia" w:ascii="Arial" w:hAnsi="Arial" w:eastAsia="宋体" w:cs="Arial"/>
          <w:b w:val="0"/>
          <w:i w:val="0"/>
          <w:caps w:val="0"/>
          <w:color w:val="333333"/>
          <w:spacing w:val="0"/>
          <w:sz w:val="18"/>
          <w:szCs w:val="18"/>
          <w:u w:val="none"/>
          <w:shd w:val="clear" w:fill="FFFFFF"/>
          <w:lang w:val="en-US" w:eastAsia="zh-CN"/>
        </w:rPr>
        <w:t>“双循环”新发展格局：</w:t>
      </w:r>
      <w:r>
        <w:rPr>
          <w:rFonts w:hint="default" w:ascii="Arial" w:hAnsi="Arial" w:eastAsia="宋体" w:cs="Arial"/>
          <w:b w:val="0"/>
          <w:i w:val="0"/>
          <w:caps w:val="0"/>
          <w:color w:val="333333"/>
          <w:spacing w:val="0"/>
          <w:sz w:val="18"/>
          <w:szCs w:val="18"/>
          <w:u w:val="none"/>
          <w:shd w:val="clear" w:fill="FFFFFF"/>
          <w:lang w:val="en-US" w:eastAsia="zh-CN"/>
        </w:rPr>
        <w:t>以国内大循环为主</w:t>
      </w:r>
      <w:r>
        <w:rPr>
          <w:rFonts w:hint="eastAsia" w:ascii="Arial" w:hAnsi="Arial" w:eastAsia="宋体" w:cs="Arial"/>
          <w:b w:val="0"/>
          <w:i w:val="0"/>
          <w:caps w:val="0"/>
          <w:color w:val="333333"/>
          <w:spacing w:val="0"/>
          <w:sz w:val="18"/>
          <w:szCs w:val="18"/>
          <w:u w:val="none"/>
          <w:shd w:val="clear" w:fill="FFFFFF"/>
          <w:lang w:val="en-US" w:eastAsia="zh-CN"/>
        </w:rPr>
        <w:t>体、</w:t>
      </w:r>
      <w:r>
        <w:rPr>
          <w:rFonts w:hint="default" w:ascii="Arial" w:hAnsi="Arial" w:eastAsia="宋体" w:cs="Arial"/>
          <w:b w:val="0"/>
          <w:i w:val="0"/>
          <w:caps w:val="0"/>
          <w:color w:val="333333"/>
          <w:spacing w:val="0"/>
          <w:sz w:val="18"/>
          <w:szCs w:val="18"/>
          <w:u w:val="none"/>
          <w:shd w:val="clear" w:fill="FFFFFF"/>
          <w:lang w:val="en-US" w:eastAsia="zh-CN"/>
        </w:rPr>
        <w:t>国内国际</w:t>
      </w:r>
      <w:r>
        <w:rPr>
          <w:rFonts w:hint="eastAsia" w:ascii="Arial" w:hAnsi="Arial" w:eastAsia="宋体" w:cs="Arial"/>
          <w:b w:val="0"/>
          <w:i w:val="0"/>
          <w:caps w:val="0"/>
          <w:color w:val="333333"/>
          <w:spacing w:val="0"/>
          <w:sz w:val="18"/>
          <w:szCs w:val="18"/>
          <w:u w:val="none"/>
          <w:shd w:val="clear" w:fill="FFFFFF"/>
          <w:lang w:val="en-US" w:eastAsia="zh-CN"/>
        </w:rPr>
        <w:t>双循环</w:t>
      </w:r>
      <w:r>
        <w:rPr>
          <w:rFonts w:hint="default" w:ascii="Arial" w:hAnsi="Arial" w:eastAsia="宋体" w:cs="Arial"/>
          <w:b w:val="0"/>
          <w:i w:val="0"/>
          <w:caps w:val="0"/>
          <w:color w:val="333333"/>
          <w:spacing w:val="0"/>
          <w:sz w:val="18"/>
          <w:szCs w:val="18"/>
          <w:u w:val="none"/>
          <w:shd w:val="clear" w:fill="FFFFFF"/>
          <w:lang w:val="en-US" w:eastAsia="zh-CN"/>
        </w:rPr>
        <w:t>相互促进的新</w:t>
      </w:r>
      <w:r>
        <w:rPr>
          <w:rFonts w:hint="eastAsia" w:ascii="Arial" w:hAnsi="Arial" w:eastAsia="宋体" w:cs="Arial"/>
          <w:b w:val="0"/>
          <w:i w:val="0"/>
          <w:caps w:val="0"/>
          <w:color w:val="333333"/>
          <w:spacing w:val="0"/>
          <w:sz w:val="18"/>
          <w:szCs w:val="18"/>
          <w:u w:val="none"/>
          <w:shd w:val="clear" w:fill="FFFFFF"/>
          <w:lang w:val="en-US" w:eastAsia="zh-CN"/>
        </w:rPr>
        <w:t>发展格局。</w:t>
      </w:r>
    </w:p>
  </w:footnote>
  <w:footnote w:id="8">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afterAutospacing="0" w:line="240" w:lineRule="auto"/>
        <w:ind w:left="0" w:right="0" w:firstLine="0"/>
        <w:jc w:val="both"/>
        <w:textAlignment w:val="auto"/>
        <w:rPr>
          <w:rFonts w:hint="eastAsia" w:ascii="Arial" w:hAnsi="Arial" w:eastAsia="宋体" w:cs="Arial"/>
          <w:b w:val="0"/>
          <w:i w:val="0"/>
          <w:caps w:val="0"/>
          <w:color w:val="333333"/>
          <w:spacing w:val="0"/>
          <w:kern w:val="0"/>
          <w:sz w:val="18"/>
          <w:szCs w:val="18"/>
          <w:shd w:val="clear" w:fill="FFFFFF"/>
          <w:lang w:val="en-US" w:eastAsia="zh-CN" w:bidi="ar"/>
        </w:rPr>
      </w:pPr>
      <w:r>
        <w:rPr>
          <w:rStyle w:val="37"/>
          <w:rFonts w:hint="eastAsia" w:ascii="宋体" w:hAnsi="宋体" w:eastAsia="宋体" w:cs="宋体"/>
          <w:kern w:val="0"/>
          <w:sz w:val="21"/>
          <w:szCs w:val="22"/>
          <w:lang w:val="en-US" w:eastAsia="zh-CN" w:bidi="ar"/>
        </w:rPr>
        <w:footnoteRef/>
      </w:r>
      <w:r>
        <w:rPr>
          <w:rFonts w:hint="eastAsia" w:cs="宋体"/>
          <w:b w:val="0"/>
          <w:i w:val="0"/>
          <w:caps w:val="0"/>
          <w:color w:val="333333"/>
          <w:spacing w:val="0"/>
          <w:kern w:val="0"/>
          <w:sz w:val="18"/>
          <w:szCs w:val="18"/>
          <w:shd w:val="clear" w:fill="FFFFFF"/>
          <w:lang w:val="en-US" w:eastAsia="zh-CN" w:bidi="ar"/>
        </w:rPr>
        <w:t>136发展战略</w:t>
      </w:r>
      <w:r>
        <w:rPr>
          <w:rFonts w:hint="eastAsia" w:ascii="宋体" w:hAnsi="宋体" w:eastAsia="宋体" w:cs="宋体"/>
          <w:b w:val="0"/>
          <w:i w:val="0"/>
          <w:caps w:val="0"/>
          <w:color w:val="333333"/>
          <w:spacing w:val="0"/>
          <w:kern w:val="0"/>
          <w:sz w:val="18"/>
          <w:szCs w:val="18"/>
          <w:shd w:val="clear" w:fill="FFFFFF"/>
          <w:lang w:val="en-US" w:eastAsia="zh-CN" w:bidi="ar"/>
        </w:rPr>
        <w:t>：建设“黄河‘几’字弯城市群高质量发展示范市”</w:t>
      </w:r>
      <w:r>
        <w:rPr>
          <w:rFonts w:hint="eastAsia" w:cs="宋体"/>
          <w:b w:val="0"/>
          <w:i w:val="0"/>
          <w:caps w:val="0"/>
          <w:color w:val="333333"/>
          <w:spacing w:val="0"/>
          <w:kern w:val="0"/>
          <w:sz w:val="18"/>
          <w:szCs w:val="18"/>
          <w:shd w:val="clear" w:fill="FFFFFF"/>
          <w:lang w:val="en-US" w:eastAsia="zh-CN" w:bidi="ar"/>
        </w:rPr>
        <w:t>一个目标</w:t>
      </w:r>
      <w:r>
        <w:rPr>
          <w:rFonts w:hint="eastAsia" w:ascii="宋体" w:hAnsi="宋体" w:eastAsia="宋体" w:cs="宋体"/>
          <w:b w:val="0"/>
          <w:i w:val="0"/>
          <w:caps w:val="0"/>
          <w:color w:val="333333"/>
          <w:spacing w:val="0"/>
          <w:kern w:val="0"/>
          <w:sz w:val="18"/>
          <w:szCs w:val="18"/>
          <w:shd w:val="clear" w:fill="FFFFFF"/>
          <w:lang w:val="en-US" w:eastAsia="zh-CN" w:bidi="ar"/>
        </w:rPr>
        <w:t>，实施“一产革新发展、二产高新发展、三产创新发展”三大战略，推进“强产业、兴文旅、促改革、优生态、厚民生、保稳定”六大工程。</w:t>
      </w:r>
    </w:p>
  </w:footnote>
  <w:footnote w:id="9">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仿宋_GB2312"/>
          <w:lang w:eastAsia="zh-CN"/>
        </w:rPr>
      </w:pPr>
      <w:r>
        <w:rPr>
          <w:rStyle w:val="37"/>
        </w:rPr>
        <w:footnoteRef/>
      </w:r>
      <w:r>
        <w:rPr>
          <w:rFonts w:hint="eastAsia" w:ascii="Arial" w:hAnsi="Arial" w:eastAsia="宋体" w:cs="Arial"/>
          <w:b w:val="0"/>
          <w:i w:val="0"/>
          <w:caps w:val="0"/>
          <w:color w:val="333333"/>
          <w:spacing w:val="0"/>
          <w:kern w:val="0"/>
          <w:sz w:val="18"/>
          <w:szCs w:val="18"/>
          <w:u w:val="none"/>
          <w:shd w:val="clear" w:fill="FFFFFF"/>
          <w:lang w:val="en-US" w:eastAsia="zh-CN" w:bidi="ar"/>
        </w:rPr>
        <w:t>三个转化：煤向电力转化、煤电向载能工业品转化、煤气油盐向化工产品转化。</w:t>
      </w:r>
    </w:p>
  </w:footnote>
  <w:footnote w:id="10">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仿宋_GB2312"/>
          <w:lang w:val="en-US" w:eastAsia="zh-CN"/>
        </w:rPr>
      </w:pPr>
      <w:r>
        <w:rPr>
          <w:rStyle w:val="37"/>
        </w:rPr>
        <w:footnoteRef/>
      </w:r>
      <w:r>
        <w:rPr>
          <w:rFonts w:hint="eastAsia" w:ascii="宋体" w:hAnsi="宋体" w:eastAsia="宋体" w:cs="宋体"/>
          <w:b w:val="0"/>
          <w:i w:val="0"/>
          <w:caps w:val="0"/>
          <w:color w:val="333333"/>
          <w:spacing w:val="0"/>
          <w:kern w:val="0"/>
          <w:sz w:val="18"/>
          <w:szCs w:val="18"/>
          <w:u w:val="none"/>
          <w:shd w:val="clear" w:fill="FFFFFF"/>
          <w:lang w:val="en-US" w:eastAsia="zh-CN" w:bidi="ar"/>
        </w:rPr>
        <w:t>12363战略：围绕转型升级、高质量发展一条主线；坚守环保、安全两条底线；着力补齐基础化工短板，着力引进具有国际竞争力的企业、技术和产品，着力发展化工终端产品加工业；构建煤炭分质利用、煤制甲醇—烯烃及下游、煤制芳烃—乙二醇—聚酯、煤制油、煤基高端化工、氯碱化工六条产业链；实现从原料向材料转化、从大宗化学品向终端应用品拓展、从产业链中低端向高端迈进三个目标。</w:t>
      </w:r>
    </w:p>
  </w:footnote>
  <w:footnote w:id="11">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eastAsia="zh-CN"/>
        </w:rPr>
      </w:pPr>
      <w:r>
        <w:rPr>
          <w:rStyle w:val="37"/>
        </w:rPr>
        <w:footnoteRef/>
      </w:r>
      <w:r>
        <w:rPr>
          <w:rFonts w:hint="eastAsia" w:ascii="宋体" w:hAnsi="宋体" w:eastAsia="宋体" w:cs="宋体"/>
          <w:sz w:val="18"/>
          <w:szCs w:val="18"/>
          <w:lang w:eastAsia="zh-CN"/>
        </w:rPr>
        <w:t>公转铁：</w:t>
      </w:r>
      <w:r>
        <w:rPr>
          <w:rFonts w:hint="eastAsia" w:ascii="宋体" w:hAnsi="宋体" w:eastAsia="宋体" w:cs="宋体"/>
          <w:b w:val="0"/>
          <w:i w:val="0"/>
          <w:caps w:val="0"/>
          <w:color w:val="333333"/>
          <w:spacing w:val="0"/>
          <w:sz w:val="18"/>
          <w:szCs w:val="18"/>
          <w:shd w:val="clear" w:fill="FFFFFF"/>
        </w:rPr>
        <w:t>促使大宗商品从公路运输转到铁路运输</w:t>
      </w:r>
      <w:r>
        <w:rPr>
          <w:rFonts w:hint="eastAsia" w:ascii="宋体" w:hAnsi="宋体" w:eastAsia="宋体" w:cs="宋体"/>
          <w:b w:val="0"/>
          <w:i w:val="0"/>
          <w:caps w:val="0"/>
          <w:color w:val="333333"/>
          <w:spacing w:val="0"/>
          <w:sz w:val="18"/>
          <w:szCs w:val="18"/>
          <w:shd w:val="clear" w:fill="FFFFFF"/>
          <w:lang w:eastAsia="zh-CN"/>
        </w:rPr>
        <w:t>。</w:t>
      </w:r>
    </w:p>
  </w:footnote>
  <w:footnote w:id="12">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仿宋_GB2312"/>
          <w:lang w:val="en-US" w:eastAsia="zh-CN"/>
        </w:rPr>
      </w:pPr>
      <w:r>
        <w:rPr>
          <w:rStyle w:val="37"/>
        </w:rPr>
        <w:footnoteRef/>
      </w:r>
      <w:r>
        <w:rPr>
          <w:rFonts w:hint="eastAsia" w:ascii="宋体" w:hAnsi="宋体" w:eastAsia="宋体" w:cs="宋体"/>
          <w:lang w:eastAsia="zh-CN"/>
        </w:rPr>
        <w:t>五个一体化：上下游建设、公用工程、物流传输、安全消防应急、管理服务等五个一体化。</w:t>
      </w:r>
    </w:p>
  </w:footnote>
  <w:footnote w:id="13">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18"/>
          <w:szCs w:val="18"/>
          <w:lang w:eastAsia="zh-CN"/>
        </w:rPr>
      </w:pPr>
      <w:r>
        <w:rPr>
          <w:rStyle w:val="37"/>
        </w:rPr>
        <w:footnoteRef/>
      </w:r>
      <w:r>
        <w:rPr>
          <w:rFonts w:hint="eastAsia" w:ascii="宋体" w:hAnsi="宋体" w:eastAsia="宋体" w:cs="宋体"/>
          <w:sz w:val="18"/>
          <w:szCs w:val="18"/>
          <w:lang w:eastAsia="zh-CN"/>
        </w:rPr>
        <w:t>双随机一公开：</w:t>
      </w:r>
      <w:r>
        <w:rPr>
          <w:rFonts w:hint="eastAsia" w:ascii="宋体" w:hAnsi="宋体" w:eastAsia="宋体" w:cs="宋体"/>
          <w:b w:val="0"/>
          <w:i w:val="0"/>
          <w:caps w:val="0"/>
          <w:color w:val="333333"/>
          <w:spacing w:val="0"/>
          <w:sz w:val="18"/>
          <w:szCs w:val="18"/>
          <w:shd w:val="clear" w:fill="FFFFFF"/>
        </w:rPr>
        <w:t>监管过程中随机抽取检查对象，随机选派执法检查人员，抽查情况及查处结果及时向社会公开</w:t>
      </w:r>
      <w:r>
        <w:rPr>
          <w:rFonts w:hint="eastAsia" w:ascii="宋体" w:hAnsi="宋体" w:eastAsia="宋体" w:cs="宋体"/>
          <w:b w:val="0"/>
          <w:i w:val="0"/>
          <w:caps w:val="0"/>
          <w:color w:val="333333"/>
          <w:spacing w:val="0"/>
          <w:sz w:val="18"/>
          <w:szCs w:val="18"/>
          <w:shd w:val="clear" w:fill="FFFFFF"/>
          <w:lang w:eastAsia="zh-CN"/>
        </w:rPr>
        <w:t>。</w:t>
      </w:r>
    </w:p>
  </w:footnote>
  <w:footnote w:id="14">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微软雅黑"/>
          <w:lang w:eastAsia="zh-CN"/>
        </w:rPr>
      </w:pPr>
      <w:r>
        <w:rPr>
          <w:rStyle w:val="37"/>
        </w:rPr>
        <w:footnoteRef/>
      </w:r>
      <w:r>
        <w:rPr>
          <w:rFonts w:hint="eastAsia" w:ascii="宋体" w:hAnsi="宋体" w:eastAsia="宋体" w:cs="宋体"/>
          <w:sz w:val="18"/>
          <w:szCs w:val="18"/>
          <w:lang w:eastAsia="zh-CN"/>
        </w:rPr>
        <w:t>三变改革：</w:t>
      </w:r>
      <w:r>
        <w:rPr>
          <w:rFonts w:hint="eastAsia" w:ascii="宋体" w:hAnsi="宋体" w:eastAsia="宋体" w:cs="宋体"/>
          <w:b w:val="0"/>
          <w:i w:val="0"/>
          <w:caps w:val="0"/>
          <w:color w:val="000000"/>
          <w:spacing w:val="8"/>
          <w:sz w:val="18"/>
          <w:szCs w:val="18"/>
          <w:shd w:val="clear" w:fill="FFFFFF"/>
        </w:rPr>
        <w:t>资源变资产、资金变股金、农民变股东</w:t>
      </w:r>
      <w:r>
        <w:rPr>
          <w:rFonts w:hint="eastAsia" w:ascii="宋体" w:hAnsi="宋体" w:eastAsia="宋体" w:cs="宋体"/>
          <w:b w:val="0"/>
          <w:i w:val="0"/>
          <w:caps w:val="0"/>
          <w:color w:val="000000"/>
          <w:spacing w:val="8"/>
          <w:sz w:val="18"/>
          <w:szCs w:val="18"/>
          <w:shd w:val="clear" w:fill="FFFFFF"/>
          <w:lang w:eastAsia="zh-CN"/>
        </w:rPr>
        <w:t>。</w:t>
      </w:r>
    </w:p>
  </w:footnote>
  <w:footnote w:id="15">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eastAsia="zh-CN"/>
        </w:rPr>
      </w:pPr>
      <w:r>
        <w:rPr>
          <w:rStyle w:val="37"/>
        </w:rPr>
        <w:footnoteRef/>
      </w:r>
      <w:r>
        <w:rPr>
          <w:rFonts w:hint="eastAsia" w:ascii="宋体" w:hAnsi="宋体" w:eastAsia="宋体" w:cs="宋体"/>
          <w:color w:val="000000" w:themeColor="text1"/>
          <w:sz w:val="18"/>
          <w:szCs w:val="18"/>
          <w:u w:val="none"/>
          <w:lang w:eastAsia="zh-CN"/>
          <w14:textFill>
            <w14:solidFill>
              <w14:schemeClr w14:val="tx1"/>
            </w14:solidFill>
          </w14:textFill>
        </w:rPr>
        <w:t>三品一标：</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instrText xml:space="preserve"> HYPERLINK "https://baike.sogou.com/lemma/ShowInnerLink.htm?lemmaId=264078&amp;ss_c=ssc.citiao.link" \t "https://baike.sogou.com/_blank" </w:instrTex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separate"/>
      </w:r>
      <w:r>
        <w:rPr>
          <w:rStyle w:val="34"/>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t>无公害农产品</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t>、绿色食品、有机农产品和农产品地理标志</w:t>
      </w:r>
      <w:r>
        <w:rPr>
          <w:rFonts w:hint="eastAsia" w:ascii="宋体" w:hAnsi="宋体" w:eastAsia="宋体" w:cs="宋体"/>
          <w:b w:val="0"/>
          <w:i w:val="0"/>
          <w:caps w:val="0"/>
          <w:color w:val="000000" w:themeColor="text1"/>
          <w:spacing w:val="0"/>
          <w:sz w:val="18"/>
          <w:szCs w:val="18"/>
          <w:u w:val="none"/>
          <w:shd w:val="clear" w:fill="FFFFFF"/>
          <w:lang w:eastAsia="zh-CN"/>
          <w14:textFill>
            <w14:solidFill>
              <w14:schemeClr w14:val="tx1"/>
            </w14:solidFill>
          </w14:textFill>
        </w:rPr>
        <w:t>。</w:t>
      </w:r>
    </w:p>
  </w:footnote>
  <w:footnote w:id="16">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lang w:eastAsia="zh-CN"/>
        </w:rPr>
      </w:pPr>
      <w:r>
        <w:rPr>
          <w:rStyle w:val="37"/>
        </w:rPr>
        <w:footnoteRef/>
      </w:r>
      <w:r>
        <w:rPr>
          <w:rFonts w:hint="eastAsia" w:ascii="宋体" w:hAnsi="宋体" w:eastAsia="宋体" w:cs="宋体"/>
          <w:sz w:val="18"/>
          <w:szCs w:val="18"/>
          <w:lang w:eastAsia="zh-CN"/>
        </w:rPr>
        <w:t>两不愁三保障：</w:t>
      </w:r>
      <w:r>
        <w:rPr>
          <w:rFonts w:hint="eastAsia" w:ascii="宋体" w:hAnsi="宋体" w:eastAsia="宋体" w:cs="宋体"/>
          <w:b w:val="0"/>
          <w:i w:val="0"/>
          <w:caps w:val="0"/>
          <w:color w:val="333333"/>
          <w:spacing w:val="0"/>
          <w:sz w:val="18"/>
          <w:szCs w:val="18"/>
          <w:shd w:val="clear" w:fill="FFFFFF"/>
        </w:rPr>
        <w:t>不愁吃、不愁穿，义务教育、基本医疗、住房安全有保障</w:t>
      </w:r>
      <w:r>
        <w:rPr>
          <w:rFonts w:hint="eastAsia" w:ascii="宋体" w:hAnsi="宋体" w:eastAsia="宋体" w:cs="宋体"/>
          <w:b w:val="0"/>
          <w:i w:val="0"/>
          <w:caps w:val="0"/>
          <w:color w:val="333333"/>
          <w:spacing w:val="0"/>
          <w:sz w:val="18"/>
          <w:szCs w:val="18"/>
          <w:shd w:val="clear" w:fill="FFFFFF"/>
          <w:lang w:eastAsia="zh-CN"/>
        </w:rPr>
        <w:t>。</w:t>
      </w:r>
    </w:p>
  </w:footnote>
  <w:footnote w:id="17">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仿宋_GB2312"/>
          <w:lang w:eastAsia="zh-CN"/>
        </w:rPr>
      </w:pPr>
      <w:r>
        <w:rPr>
          <w:rStyle w:val="37"/>
        </w:rPr>
        <w:footnoteRef/>
      </w:r>
      <w:r>
        <w:rPr>
          <w:rFonts w:hint="eastAsia" w:ascii="宋体" w:hAnsi="宋体" w:eastAsia="宋体" w:cs="宋体"/>
          <w:lang w:eastAsia="zh-CN"/>
        </w:rPr>
        <w:t>三区两带两中心：北部现代生态循环农业发展区、近郊休闲观光农业发展区、中南部有机旱作农业发展区，沿黄特色林果发展带、秃尾河流域规模农业发展带，生态修复农业拓展中心、精细农业种养培植中心。</w:t>
      </w:r>
    </w:p>
  </w:footnote>
  <w:footnote w:id="18">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仿宋_GB2312"/>
          <w:lang w:val="en-US" w:eastAsia="zh-CN"/>
        </w:rPr>
      </w:pPr>
      <w:r>
        <w:rPr>
          <w:rStyle w:val="37"/>
        </w:rPr>
        <w:footnoteRef/>
      </w:r>
      <w:r>
        <w:rPr>
          <w:rFonts w:hint="eastAsia" w:ascii="宋体" w:hAnsi="宋体" w:eastAsia="宋体" w:cs="宋体"/>
          <w:lang w:eastAsia="zh-CN"/>
        </w:rPr>
        <w:t>三区六园、两带一廊：北部风沙草滩特色农牧旅游区、中部神府煤炭能源及能化产业区、南部生态农业及文化旅游区，榆神工业园、锦界高新区、经开区、大柳塔试验区、兰炭产业园、农高区，高端能化循环产业带、清洁煤电及新能源产业带，沿黄生态文化旅游产业走廊。</w:t>
      </w:r>
    </w:p>
  </w:footnote>
  <w:footnote w:id="19">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仿宋_GB2312"/>
          <w:lang w:eastAsia="zh-CN"/>
        </w:rPr>
      </w:pPr>
      <w:r>
        <w:rPr>
          <w:rStyle w:val="37"/>
        </w:rPr>
        <w:footnoteRef/>
      </w:r>
      <w:r>
        <w:rPr>
          <w:rFonts w:hint="eastAsia" w:ascii="宋体" w:hAnsi="宋体" w:eastAsia="宋体" w:cs="宋体"/>
          <w:sz w:val="18"/>
          <w:szCs w:val="18"/>
          <w:lang w:eastAsia="zh-CN"/>
        </w:rPr>
        <w:t>一轴三区六组团：</w:t>
      </w:r>
      <w:r>
        <w:rPr>
          <w:rFonts w:hint="eastAsia" w:ascii="宋体" w:hAnsi="宋体" w:eastAsia="宋体" w:cs="宋体"/>
          <w:sz w:val="18"/>
          <w:szCs w:val="18"/>
          <w:shd w:val="clear" w:color="auto" w:fill="FFFFFF"/>
        </w:rPr>
        <w:t>“一轴”</w:t>
      </w:r>
      <w:r>
        <w:rPr>
          <w:rFonts w:hint="eastAsia" w:ascii="宋体" w:hAnsi="宋体" w:eastAsia="宋体" w:cs="宋体"/>
          <w:sz w:val="18"/>
          <w:szCs w:val="18"/>
          <w:shd w:val="clear" w:color="auto" w:fill="FFFFFF"/>
          <w:lang w:eastAsia="zh-CN"/>
        </w:rPr>
        <w:t>即</w:t>
      </w:r>
      <w:r>
        <w:rPr>
          <w:rFonts w:hint="eastAsia" w:ascii="宋体" w:hAnsi="宋体" w:eastAsia="宋体" w:cs="宋体"/>
          <w:sz w:val="18"/>
          <w:szCs w:val="18"/>
          <w:shd w:val="clear" w:color="auto" w:fill="FFFFFF"/>
        </w:rPr>
        <w:t>由北向南沿窟野河两岸形成的滨河景观轴</w:t>
      </w:r>
      <w:r>
        <w:rPr>
          <w:rFonts w:hint="eastAsia" w:ascii="宋体" w:hAnsi="宋体" w:eastAsia="宋体" w:cs="宋体"/>
          <w:sz w:val="18"/>
          <w:szCs w:val="18"/>
          <w:shd w:val="clear" w:color="auto" w:fill="FFFFFF"/>
          <w:lang w:eastAsia="zh-CN"/>
        </w:rPr>
        <w:t>，</w:t>
      </w:r>
      <w:r>
        <w:rPr>
          <w:rFonts w:hint="eastAsia" w:ascii="宋体" w:hAnsi="宋体" w:eastAsia="宋体" w:cs="宋体"/>
          <w:sz w:val="18"/>
          <w:szCs w:val="18"/>
          <w:shd w:val="clear" w:color="auto" w:fill="FFFFFF"/>
        </w:rPr>
        <w:t>“三区”</w:t>
      </w:r>
      <w:r>
        <w:rPr>
          <w:rFonts w:hint="eastAsia" w:ascii="宋体" w:hAnsi="宋体" w:eastAsia="宋体" w:cs="宋体"/>
          <w:sz w:val="18"/>
          <w:szCs w:val="18"/>
          <w:shd w:val="clear" w:color="auto" w:fill="FFFFFF"/>
          <w:lang w:eastAsia="zh-CN"/>
        </w:rPr>
        <w:t>即</w:t>
      </w:r>
      <w:r>
        <w:rPr>
          <w:rFonts w:hint="eastAsia" w:ascii="宋体" w:hAnsi="宋体" w:eastAsia="宋体" w:cs="宋体"/>
          <w:sz w:val="18"/>
          <w:szCs w:val="18"/>
          <w:shd w:val="clear" w:color="auto" w:fill="FFFFFF"/>
        </w:rPr>
        <w:t>南部老城综合服务区、北部产城融合发展区、西部城乡一体示范区</w:t>
      </w:r>
      <w:r>
        <w:rPr>
          <w:rFonts w:hint="eastAsia" w:ascii="宋体" w:hAnsi="宋体" w:eastAsia="宋体" w:cs="宋体"/>
          <w:sz w:val="18"/>
          <w:szCs w:val="18"/>
          <w:shd w:val="clear" w:color="auto" w:fill="FFFFFF"/>
          <w:lang w:eastAsia="zh-CN"/>
        </w:rPr>
        <w:t>，</w:t>
      </w:r>
      <w:r>
        <w:rPr>
          <w:rFonts w:hint="eastAsia" w:ascii="宋体" w:hAnsi="宋体" w:eastAsia="宋体" w:cs="宋体"/>
          <w:sz w:val="18"/>
          <w:szCs w:val="18"/>
          <w:shd w:val="clear" w:color="auto" w:fill="FFFFFF"/>
        </w:rPr>
        <w:t>“六组团”</w:t>
      </w:r>
      <w:r>
        <w:rPr>
          <w:rFonts w:hint="eastAsia" w:ascii="宋体" w:hAnsi="宋体" w:eastAsia="宋体" w:cs="宋体"/>
          <w:sz w:val="18"/>
          <w:szCs w:val="18"/>
          <w:shd w:val="clear" w:color="auto" w:fill="FFFFFF"/>
          <w:lang w:eastAsia="zh-CN"/>
        </w:rPr>
        <w:t>即</w:t>
      </w:r>
      <w:r>
        <w:rPr>
          <w:rFonts w:hint="eastAsia" w:ascii="宋体" w:hAnsi="宋体" w:eastAsia="宋体" w:cs="宋体"/>
          <w:sz w:val="18"/>
          <w:szCs w:val="18"/>
          <w:shd w:val="clear" w:color="auto" w:fill="FFFFFF"/>
        </w:rPr>
        <w:t>老城北部组团、老城南部组团、西山组团、经开区组团、滨河新区组团及店塔组团。</w:t>
      </w:r>
    </w:p>
  </w:footnote>
  <w:footnote w:id="20">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000000" w:themeColor="text1"/>
          <w:sz w:val="18"/>
          <w:szCs w:val="18"/>
          <w:lang w:eastAsia="zh-CN"/>
          <w14:textFill>
            <w14:solidFill>
              <w14:schemeClr w14:val="tx1"/>
            </w14:solidFill>
          </w14:textFill>
        </w:rPr>
      </w:pPr>
      <w:r>
        <w:rPr>
          <w:rStyle w:val="37"/>
        </w:rPr>
        <w:footnoteRef/>
      </w:r>
      <w:r>
        <w:rPr>
          <w:rFonts w:hint="eastAsia" w:ascii="宋体" w:hAnsi="宋体" w:eastAsia="宋体" w:cs="宋体"/>
          <w:color w:val="000000" w:themeColor="text1"/>
          <w:sz w:val="18"/>
          <w:szCs w:val="18"/>
          <w:lang w:eastAsia="zh-CN"/>
          <w14:textFill>
            <w14:solidFill>
              <w14:schemeClr w14:val="tx1"/>
            </w14:solidFill>
          </w14:textFill>
        </w:rPr>
        <w:t>土十条：</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开展</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instrText xml:space="preserve"> HYPERLINK "https://baike.sogou.com/lemma/ShowInnerLink.htm?lemmaId=7842575&amp;ss_c=ssc.citiao.link" \t "https://baike.sogou.com/_blank" </w:instrTex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separate"/>
      </w:r>
      <w:r>
        <w:rPr>
          <w:rStyle w:val="34"/>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t>土壤污染调查</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，掌握土壤环境质量状况</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推进土壤污染防治立法，建立健全法规标准体系</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实施农用地分类管理，保障农业生产环境安全</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实施建设用地准入管理，防范人居环境风险</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强化未污染</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instrText xml:space="preserve"> HYPERLINK "https://baike.sogou.com/lemma/ShowInnerLink.htm?lemmaId=57570618&amp;ss_c=ssc.citiao.link" \t "https://baike.sogou.com/_blank" </w:instrTex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separate"/>
      </w:r>
      <w:r>
        <w:rPr>
          <w:rStyle w:val="34"/>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t>土壤保护</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，严控新增土壤污染</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加强污染源监管，做好土壤污染预防工作</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开展污染治理与修复，改善</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instrText xml:space="preserve"> HYPERLINK "https://baike.sogou.com/lemma/ShowInnerLink.htm?lemmaId=191008116&amp;ss_c=ssc.citiao.link" \t "https://baike.sogou.com/_blank" </w:instrTex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separate"/>
      </w:r>
      <w:r>
        <w:rPr>
          <w:rStyle w:val="34"/>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t>区域土壤环境质量</w:t>
      </w:r>
      <w:r>
        <w:rPr>
          <w:rFonts w:hint="eastAsia" w:ascii="宋体" w:hAnsi="宋体" w:eastAsia="宋体" w:cs="宋体"/>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宋体" w:hAnsi="宋体" w:eastAsia="宋体" w:cs="宋体"/>
          <w:b w:val="0"/>
          <w:i w:val="0"/>
          <w:caps w:val="0"/>
          <w:color w:val="000000" w:themeColor="text1"/>
          <w:spacing w:val="0"/>
          <w:sz w:val="18"/>
          <w:szCs w:val="18"/>
          <w:u w:val="none"/>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加大科技研发力度，推动环境保护产业发展</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发挥政府主导作用，构建土壤环境治理体系</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r>
        <w:rPr>
          <w:rFonts w:hint="eastAsia" w:ascii="宋体" w:hAnsi="宋体" w:eastAsia="宋体" w:cs="宋体"/>
          <w:b w:val="0"/>
          <w:i w:val="0"/>
          <w:caps w:val="0"/>
          <w:color w:val="000000" w:themeColor="text1"/>
          <w:spacing w:val="0"/>
          <w:sz w:val="18"/>
          <w:szCs w:val="18"/>
          <w:shd w:val="clear" w:fill="FFFFFF"/>
          <w14:textFill>
            <w14:solidFill>
              <w14:schemeClr w14:val="tx1"/>
            </w14:solidFill>
          </w14:textFill>
        </w:rPr>
        <w:t>加强目标考核，严格责任追究</w:t>
      </w:r>
      <w:r>
        <w:rPr>
          <w:rFonts w:hint="eastAsia" w:ascii="宋体" w:hAnsi="宋体" w:eastAsia="宋体" w:cs="宋体"/>
          <w:b w:val="0"/>
          <w:i w:val="0"/>
          <w:caps w:val="0"/>
          <w:color w:val="000000" w:themeColor="text1"/>
          <w:spacing w:val="0"/>
          <w:sz w:val="18"/>
          <w:szCs w:val="18"/>
          <w:shd w:val="clear" w:fill="FFFFFF"/>
          <w:lang w:eastAsia="zh-CN"/>
          <w14:textFill>
            <w14:solidFill>
              <w14:schemeClr w14:val="tx1"/>
            </w14:solidFill>
          </w14:textFill>
        </w:rPr>
        <w:t>。</w:t>
      </w:r>
    </w:p>
  </w:footnote>
  <w:footnote w:id="21">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仿宋_GB2312"/>
          <w:lang w:val="en-US" w:eastAsia="zh-CN"/>
        </w:rPr>
      </w:pPr>
      <w:r>
        <w:rPr>
          <w:rStyle w:val="37"/>
        </w:rPr>
        <w:footnoteRef/>
      </w:r>
      <w:r>
        <w:rPr>
          <w:rFonts w:hint="eastAsia" w:ascii="宋体" w:hAnsi="宋体" w:eastAsia="宋体" w:cs="宋体"/>
          <w:lang w:val="en-US" w:eastAsia="zh-CN"/>
        </w:rPr>
        <w:t>1314智慧城市框架体系：1个智慧城市运行管理中心，产业、政务、民生3类应用，1套数据和应用集成使能平台，政策法规、标准规范、信息安全、运营维护4套保障体系。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5F7C0C"/>
    <w:multiLevelType w:val="singleLevel"/>
    <w:tmpl w:val="595F7C0C"/>
    <w:lvl w:ilvl="0" w:tentative="0">
      <w:start w:val="3"/>
      <w:numFmt w:val="decimal"/>
      <w:pStyle w:val="40"/>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4"/>
    <w:footnote w:id="4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0D49B5"/>
    <w:rsid w:val="0005789F"/>
    <w:rsid w:val="000A0FD5"/>
    <w:rsid w:val="000B24D5"/>
    <w:rsid w:val="000B6AAB"/>
    <w:rsid w:val="000C6102"/>
    <w:rsid w:val="000D0068"/>
    <w:rsid w:val="000F283F"/>
    <w:rsid w:val="00146226"/>
    <w:rsid w:val="00162BF1"/>
    <w:rsid w:val="001836AB"/>
    <w:rsid w:val="00184C73"/>
    <w:rsid w:val="00190852"/>
    <w:rsid w:val="001A47EC"/>
    <w:rsid w:val="001B3021"/>
    <w:rsid w:val="001C0D53"/>
    <w:rsid w:val="001C137C"/>
    <w:rsid w:val="001C468F"/>
    <w:rsid w:val="001D214A"/>
    <w:rsid w:val="001D38A6"/>
    <w:rsid w:val="001D78EB"/>
    <w:rsid w:val="001E6288"/>
    <w:rsid w:val="001F203F"/>
    <w:rsid w:val="00201CF0"/>
    <w:rsid w:val="00215951"/>
    <w:rsid w:val="00250553"/>
    <w:rsid w:val="00261E3B"/>
    <w:rsid w:val="0027077A"/>
    <w:rsid w:val="0028018B"/>
    <w:rsid w:val="00284F72"/>
    <w:rsid w:val="00291D59"/>
    <w:rsid w:val="002929DE"/>
    <w:rsid w:val="00292BDD"/>
    <w:rsid w:val="002A48E4"/>
    <w:rsid w:val="002B1893"/>
    <w:rsid w:val="002B45BA"/>
    <w:rsid w:val="002B4E63"/>
    <w:rsid w:val="002B7C0F"/>
    <w:rsid w:val="002C14BA"/>
    <w:rsid w:val="002C1807"/>
    <w:rsid w:val="002C2460"/>
    <w:rsid w:val="002C34FF"/>
    <w:rsid w:val="002C6C11"/>
    <w:rsid w:val="002D29E6"/>
    <w:rsid w:val="003021D5"/>
    <w:rsid w:val="00304228"/>
    <w:rsid w:val="00306F17"/>
    <w:rsid w:val="00311889"/>
    <w:rsid w:val="003125E7"/>
    <w:rsid w:val="00330F27"/>
    <w:rsid w:val="003471DE"/>
    <w:rsid w:val="00351D20"/>
    <w:rsid w:val="003633EC"/>
    <w:rsid w:val="003722B8"/>
    <w:rsid w:val="003821DE"/>
    <w:rsid w:val="00382F9B"/>
    <w:rsid w:val="00386197"/>
    <w:rsid w:val="003A597F"/>
    <w:rsid w:val="003B40F5"/>
    <w:rsid w:val="003B7B39"/>
    <w:rsid w:val="003E46F3"/>
    <w:rsid w:val="003F4913"/>
    <w:rsid w:val="0041458E"/>
    <w:rsid w:val="00420C2B"/>
    <w:rsid w:val="004314EC"/>
    <w:rsid w:val="00433B58"/>
    <w:rsid w:val="0044342F"/>
    <w:rsid w:val="00457518"/>
    <w:rsid w:val="00462206"/>
    <w:rsid w:val="0046712C"/>
    <w:rsid w:val="00470248"/>
    <w:rsid w:val="0048208E"/>
    <w:rsid w:val="004840B7"/>
    <w:rsid w:val="004A3EF5"/>
    <w:rsid w:val="004C045D"/>
    <w:rsid w:val="004C5B47"/>
    <w:rsid w:val="00501092"/>
    <w:rsid w:val="00514BB6"/>
    <w:rsid w:val="00522BF4"/>
    <w:rsid w:val="00532504"/>
    <w:rsid w:val="00563157"/>
    <w:rsid w:val="005720A7"/>
    <w:rsid w:val="00572A98"/>
    <w:rsid w:val="005908EB"/>
    <w:rsid w:val="00590FCF"/>
    <w:rsid w:val="00597B90"/>
    <w:rsid w:val="005A2AF4"/>
    <w:rsid w:val="005A5551"/>
    <w:rsid w:val="005C219A"/>
    <w:rsid w:val="005E14F6"/>
    <w:rsid w:val="005F1F88"/>
    <w:rsid w:val="006136DF"/>
    <w:rsid w:val="00626D18"/>
    <w:rsid w:val="00670978"/>
    <w:rsid w:val="006813EB"/>
    <w:rsid w:val="00684054"/>
    <w:rsid w:val="00696560"/>
    <w:rsid w:val="006A08D7"/>
    <w:rsid w:val="006A396B"/>
    <w:rsid w:val="006A5718"/>
    <w:rsid w:val="006B22E7"/>
    <w:rsid w:val="006D1D20"/>
    <w:rsid w:val="006F00B8"/>
    <w:rsid w:val="006F7654"/>
    <w:rsid w:val="00703B5C"/>
    <w:rsid w:val="007049DB"/>
    <w:rsid w:val="0072368E"/>
    <w:rsid w:val="00731B93"/>
    <w:rsid w:val="00733C3F"/>
    <w:rsid w:val="0073797D"/>
    <w:rsid w:val="007470A0"/>
    <w:rsid w:val="00755714"/>
    <w:rsid w:val="00767348"/>
    <w:rsid w:val="007773F2"/>
    <w:rsid w:val="007A3C4A"/>
    <w:rsid w:val="007A4705"/>
    <w:rsid w:val="007A50F0"/>
    <w:rsid w:val="007B0A44"/>
    <w:rsid w:val="007B0AC5"/>
    <w:rsid w:val="007C7B58"/>
    <w:rsid w:val="007D0FD3"/>
    <w:rsid w:val="007D2595"/>
    <w:rsid w:val="007E639F"/>
    <w:rsid w:val="007E6CE6"/>
    <w:rsid w:val="008162D7"/>
    <w:rsid w:val="0083395E"/>
    <w:rsid w:val="00833AF4"/>
    <w:rsid w:val="00853768"/>
    <w:rsid w:val="008615DD"/>
    <w:rsid w:val="008850F8"/>
    <w:rsid w:val="008873D2"/>
    <w:rsid w:val="00892AF0"/>
    <w:rsid w:val="0089409B"/>
    <w:rsid w:val="00897BAE"/>
    <w:rsid w:val="008A018C"/>
    <w:rsid w:val="008B77B8"/>
    <w:rsid w:val="008C16F4"/>
    <w:rsid w:val="008C3274"/>
    <w:rsid w:val="008C4DBF"/>
    <w:rsid w:val="008D18DF"/>
    <w:rsid w:val="008D498C"/>
    <w:rsid w:val="008F6560"/>
    <w:rsid w:val="00904A1D"/>
    <w:rsid w:val="0092178D"/>
    <w:rsid w:val="00925FA8"/>
    <w:rsid w:val="0092764B"/>
    <w:rsid w:val="00937EE7"/>
    <w:rsid w:val="0098688F"/>
    <w:rsid w:val="009A288E"/>
    <w:rsid w:val="009A6D75"/>
    <w:rsid w:val="009B3831"/>
    <w:rsid w:val="009B5963"/>
    <w:rsid w:val="009B61EC"/>
    <w:rsid w:val="009B6630"/>
    <w:rsid w:val="009D7F07"/>
    <w:rsid w:val="009E0F82"/>
    <w:rsid w:val="009F6E35"/>
    <w:rsid w:val="00A24562"/>
    <w:rsid w:val="00A42F86"/>
    <w:rsid w:val="00A4362F"/>
    <w:rsid w:val="00A43D24"/>
    <w:rsid w:val="00A45F68"/>
    <w:rsid w:val="00A47BCD"/>
    <w:rsid w:val="00A579E6"/>
    <w:rsid w:val="00A6153B"/>
    <w:rsid w:val="00A76DE6"/>
    <w:rsid w:val="00A87D87"/>
    <w:rsid w:val="00AA10E9"/>
    <w:rsid w:val="00AA2EE4"/>
    <w:rsid w:val="00AB0056"/>
    <w:rsid w:val="00AB10DA"/>
    <w:rsid w:val="00AC0222"/>
    <w:rsid w:val="00AC3AB1"/>
    <w:rsid w:val="00AC5283"/>
    <w:rsid w:val="00AC70EF"/>
    <w:rsid w:val="00AD1276"/>
    <w:rsid w:val="00AD14DF"/>
    <w:rsid w:val="00AD15E1"/>
    <w:rsid w:val="00AE1405"/>
    <w:rsid w:val="00AE4E31"/>
    <w:rsid w:val="00AE554E"/>
    <w:rsid w:val="00AF1A12"/>
    <w:rsid w:val="00AF6178"/>
    <w:rsid w:val="00B027BD"/>
    <w:rsid w:val="00B11711"/>
    <w:rsid w:val="00B11926"/>
    <w:rsid w:val="00B368F2"/>
    <w:rsid w:val="00B44CA5"/>
    <w:rsid w:val="00B7319E"/>
    <w:rsid w:val="00B738C8"/>
    <w:rsid w:val="00B76933"/>
    <w:rsid w:val="00B8359B"/>
    <w:rsid w:val="00B925AD"/>
    <w:rsid w:val="00BC7187"/>
    <w:rsid w:val="00BF5701"/>
    <w:rsid w:val="00C06036"/>
    <w:rsid w:val="00C07A7B"/>
    <w:rsid w:val="00C10009"/>
    <w:rsid w:val="00C10D6E"/>
    <w:rsid w:val="00C20B9C"/>
    <w:rsid w:val="00C3368E"/>
    <w:rsid w:val="00C479A5"/>
    <w:rsid w:val="00C620D1"/>
    <w:rsid w:val="00C65CBD"/>
    <w:rsid w:val="00C66F2E"/>
    <w:rsid w:val="00C72038"/>
    <w:rsid w:val="00C86BDE"/>
    <w:rsid w:val="00C912BC"/>
    <w:rsid w:val="00CA2F31"/>
    <w:rsid w:val="00CA7416"/>
    <w:rsid w:val="00CB75BB"/>
    <w:rsid w:val="00CB7BAC"/>
    <w:rsid w:val="00CD12DE"/>
    <w:rsid w:val="00CD7183"/>
    <w:rsid w:val="00CE0D05"/>
    <w:rsid w:val="00CE47EB"/>
    <w:rsid w:val="00CE5DF1"/>
    <w:rsid w:val="00D0202B"/>
    <w:rsid w:val="00D14375"/>
    <w:rsid w:val="00D148D7"/>
    <w:rsid w:val="00D15A5F"/>
    <w:rsid w:val="00D25061"/>
    <w:rsid w:val="00D337F3"/>
    <w:rsid w:val="00D34CE8"/>
    <w:rsid w:val="00D42521"/>
    <w:rsid w:val="00D44227"/>
    <w:rsid w:val="00D47573"/>
    <w:rsid w:val="00D5700B"/>
    <w:rsid w:val="00D57331"/>
    <w:rsid w:val="00D6104D"/>
    <w:rsid w:val="00D66008"/>
    <w:rsid w:val="00D81C5D"/>
    <w:rsid w:val="00D86B9A"/>
    <w:rsid w:val="00D874B8"/>
    <w:rsid w:val="00D954C5"/>
    <w:rsid w:val="00D96866"/>
    <w:rsid w:val="00DA03D9"/>
    <w:rsid w:val="00DA3893"/>
    <w:rsid w:val="00DA63D3"/>
    <w:rsid w:val="00DD606A"/>
    <w:rsid w:val="00E252E1"/>
    <w:rsid w:val="00E45877"/>
    <w:rsid w:val="00E54411"/>
    <w:rsid w:val="00E560FC"/>
    <w:rsid w:val="00E5681A"/>
    <w:rsid w:val="00E939EA"/>
    <w:rsid w:val="00E958A3"/>
    <w:rsid w:val="00EA5998"/>
    <w:rsid w:val="00EB397A"/>
    <w:rsid w:val="00EB5FA1"/>
    <w:rsid w:val="00EC4AB7"/>
    <w:rsid w:val="00EC55F2"/>
    <w:rsid w:val="00ED02BF"/>
    <w:rsid w:val="00ED3955"/>
    <w:rsid w:val="00EE6F7C"/>
    <w:rsid w:val="00EE7B2D"/>
    <w:rsid w:val="00EF778C"/>
    <w:rsid w:val="00F04E7D"/>
    <w:rsid w:val="00F105CC"/>
    <w:rsid w:val="00F11F25"/>
    <w:rsid w:val="00F61331"/>
    <w:rsid w:val="00F657A4"/>
    <w:rsid w:val="00F66A63"/>
    <w:rsid w:val="00F71F80"/>
    <w:rsid w:val="00F76475"/>
    <w:rsid w:val="00F854EC"/>
    <w:rsid w:val="00F94A9E"/>
    <w:rsid w:val="00F95554"/>
    <w:rsid w:val="00F955F2"/>
    <w:rsid w:val="00FF564C"/>
    <w:rsid w:val="01057DA3"/>
    <w:rsid w:val="011B227C"/>
    <w:rsid w:val="011D3458"/>
    <w:rsid w:val="01321CD6"/>
    <w:rsid w:val="0138603F"/>
    <w:rsid w:val="01456655"/>
    <w:rsid w:val="01494D3A"/>
    <w:rsid w:val="014A7A15"/>
    <w:rsid w:val="01625DA9"/>
    <w:rsid w:val="016869B9"/>
    <w:rsid w:val="01693065"/>
    <w:rsid w:val="01703194"/>
    <w:rsid w:val="01756589"/>
    <w:rsid w:val="01757DC4"/>
    <w:rsid w:val="017B1C78"/>
    <w:rsid w:val="017D2A69"/>
    <w:rsid w:val="017E790F"/>
    <w:rsid w:val="018E748C"/>
    <w:rsid w:val="01937AF8"/>
    <w:rsid w:val="01993CF1"/>
    <w:rsid w:val="019B6F51"/>
    <w:rsid w:val="019C4135"/>
    <w:rsid w:val="01A959D3"/>
    <w:rsid w:val="01B2672C"/>
    <w:rsid w:val="01BC6277"/>
    <w:rsid w:val="01C07260"/>
    <w:rsid w:val="01C4242F"/>
    <w:rsid w:val="01C76001"/>
    <w:rsid w:val="01C911E6"/>
    <w:rsid w:val="01CC3039"/>
    <w:rsid w:val="01D16655"/>
    <w:rsid w:val="01D901A7"/>
    <w:rsid w:val="01D92206"/>
    <w:rsid w:val="01E15E49"/>
    <w:rsid w:val="01F403F9"/>
    <w:rsid w:val="020079CB"/>
    <w:rsid w:val="020155A0"/>
    <w:rsid w:val="02025FE0"/>
    <w:rsid w:val="020F7B2C"/>
    <w:rsid w:val="02110982"/>
    <w:rsid w:val="0215657A"/>
    <w:rsid w:val="02177B74"/>
    <w:rsid w:val="021D50ED"/>
    <w:rsid w:val="02256283"/>
    <w:rsid w:val="022B6076"/>
    <w:rsid w:val="0240387A"/>
    <w:rsid w:val="02502060"/>
    <w:rsid w:val="025326AB"/>
    <w:rsid w:val="02544213"/>
    <w:rsid w:val="0284165B"/>
    <w:rsid w:val="02963159"/>
    <w:rsid w:val="029F0EC9"/>
    <w:rsid w:val="02A502B9"/>
    <w:rsid w:val="02A93D00"/>
    <w:rsid w:val="02B21791"/>
    <w:rsid w:val="02D13935"/>
    <w:rsid w:val="02D50CD8"/>
    <w:rsid w:val="02D53489"/>
    <w:rsid w:val="02DF6F94"/>
    <w:rsid w:val="02E91A78"/>
    <w:rsid w:val="02EA5CE9"/>
    <w:rsid w:val="02EB0456"/>
    <w:rsid w:val="02F504AE"/>
    <w:rsid w:val="02FC008B"/>
    <w:rsid w:val="02FE3727"/>
    <w:rsid w:val="030D1329"/>
    <w:rsid w:val="0324192B"/>
    <w:rsid w:val="03277BDC"/>
    <w:rsid w:val="032F0279"/>
    <w:rsid w:val="033350ED"/>
    <w:rsid w:val="033A1635"/>
    <w:rsid w:val="03413340"/>
    <w:rsid w:val="034509D4"/>
    <w:rsid w:val="0345732E"/>
    <w:rsid w:val="034D5C77"/>
    <w:rsid w:val="034F4DF1"/>
    <w:rsid w:val="035242B1"/>
    <w:rsid w:val="03541FB4"/>
    <w:rsid w:val="0359067C"/>
    <w:rsid w:val="035F199A"/>
    <w:rsid w:val="036675A9"/>
    <w:rsid w:val="03670545"/>
    <w:rsid w:val="036801E4"/>
    <w:rsid w:val="036A40C4"/>
    <w:rsid w:val="037420B7"/>
    <w:rsid w:val="039B3C0A"/>
    <w:rsid w:val="039B41F9"/>
    <w:rsid w:val="03A476DA"/>
    <w:rsid w:val="03A47959"/>
    <w:rsid w:val="03B91767"/>
    <w:rsid w:val="03B919D4"/>
    <w:rsid w:val="03C00BFA"/>
    <w:rsid w:val="03CF78A1"/>
    <w:rsid w:val="03DB657F"/>
    <w:rsid w:val="03DD6D8C"/>
    <w:rsid w:val="03E43AC4"/>
    <w:rsid w:val="03E85919"/>
    <w:rsid w:val="03ED4707"/>
    <w:rsid w:val="03F60BE2"/>
    <w:rsid w:val="03F84FE1"/>
    <w:rsid w:val="03FD09F7"/>
    <w:rsid w:val="042F3655"/>
    <w:rsid w:val="04320671"/>
    <w:rsid w:val="04366BF2"/>
    <w:rsid w:val="04386E22"/>
    <w:rsid w:val="04421C9B"/>
    <w:rsid w:val="04496C92"/>
    <w:rsid w:val="045C40EA"/>
    <w:rsid w:val="046355D7"/>
    <w:rsid w:val="046E57E2"/>
    <w:rsid w:val="046F0019"/>
    <w:rsid w:val="04734943"/>
    <w:rsid w:val="047E5156"/>
    <w:rsid w:val="047F422B"/>
    <w:rsid w:val="04894AC8"/>
    <w:rsid w:val="048A7898"/>
    <w:rsid w:val="049E33CC"/>
    <w:rsid w:val="04A454DC"/>
    <w:rsid w:val="04A97F97"/>
    <w:rsid w:val="04AD700E"/>
    <w:rsid w:val="04AF22DF"/>
    <w:rsid w:val="04B45972"/>
    <w:rsid w:val="04C256F2"/>
    <w:rsid w:val="04C323FE"/>
    <w:rsid w:val="04CB6770"/>
    <w:rsid w:val="04D06EDF"/>
    <w:rsid w:val="04DB2EC2"/>
    <w:rsid w:val="04E32399"/>
    <w:rsid w:val="04E90494"/>
    <w:rsid w:val="04EC53B8"/>
    <w:rsid w:val="04FC5207"/>
    <w:rsid w:val="052F1C49"/>
    <w:rsid w:val="053657B1"/>
    <w:rsid w:val="05423B2F"/>
    <w:rsid w:val="05484362"/>
    <w:rsid w:val="054D794C"/>
    <w:rsid w:val="055509C8"/>
    <w:rsid w:val="055610AC"/>
    <w:rsid w:val="05596B0D"/>
    <w:rsid w:val="055B63A7"/>
    <w:rsid w:val="055D34B3"/>
    <w:rsid w:val="05617571"/>
    <w:rsid w:val="057302EF"/>
    <w:rsid w:val="057B74D7"/>
    <w:rsid w:val="057D4407"/>
    <w:rsid w:val="058A1A79"/>
    <w:rsid w:val="0593491A"/>
    <w:rsid w:val="0599063C"/>
    <w:rsid w:val="059B42F1"/>
    <w:rsid w:val="05A14E97"/>
    <w:rsid w:val="05A1739D"/>
    <w:rsid w:val="05A53622"/>
    <w:rsid w:val="05A64A81"/>
    <w:rsid w:val="05A91F27"/>
    <w:rsid w:val="05AA06D9"/>
    <w:rsid w:val="05B01B84"/>
    <w:rsid w:val="05B30C97"/>
    <w:rsid w:val="05B5194C"/>
    <w:rsid w:val="05B97BC2"/>
    <w:rsid w:val="05BC624D"/>
    <w:rsid w:val="05BE3DB9"/>
    <w:rsid w:val="05C37AF4"/>
    <w:rsid w:val="05D67AF8"/>
    <w:rsid w:val="05DC4695"/>
    <w:rsid w:val="05DE0825"/>
    <w:rsid w:val="05E266CC"/>
    <w:rsid w:val="05ED1970"/>
    <w:rsid w:val="05FA4E89"/>
    <w:rsid w:val="06012631"/>
    <w:rsid w:val="06024F70"/>
    <w:rsid w:val="060614F9"/>
    <w:rsid w:val="06086A67"/>
    <w:rsid w:val="061028E9"/>
    <w:rsid w:val="06121344"/>
    <w:rsid w:val="06135B4B"/>
    <w:rsid w:val="061B0D09"/>
    <w:rsid w:val="0623082D"/>
    <w:rsid w:val="06235474"/>
    <w:rsid w:val="06245A7C"/>
    <w:rsid w:val="06250D44"/>
    <w:rsid w:val="06300F44"/>
    <w:rsid w:val="06334911"/>
    <w:rsid w:val="0638525D"/>
    <w:rsid w:val="06420A87"/>
    <w:rsid w:val="06427547"/>
    <w:rsid w:val="06466052"/>
    <w:rsid w:val="06491A1E"/>
    <w:rsid w:val="06497432"/>
    <w:rsid w:val="064E03D1"/>
    <w:rsid w:val="064F4826"/>
    <w:rsid w:val="06535E15"/>
    <w:rsid w:val="06552807"/>
    <w:rsid w:val="065D21F5"/>
    <w:rsid w:val="06600B05"/>
    <w:rsid w:val="06617F91"/>
    <w:rsid w:val="06703BA9"/>
    <w:rsid w:val="068117A2"/>
    <w:rsid w:val="069A5D45"/>
    <w:rsid w:val="069D1C35"/>
    <w:rsid w:val="069F4091"/>
    <w:rsid w:val="06AF1510"/>
    <w:rsid w:val="06CD18A6"/>
    <w:rsid w:val="06D3437E"/>
    <w:rsid w:val="06D36C1D"/>
    <w:rsid w:val="06D8390E"/>
    <w:rsid w:val="06DD7FD8"/>
    <w:rsid w:val="06EB0924"/>
    <w:rsid w:val="06F0436E"/>
    <w:rsid w:val="06F16244"/>
    <w:rsid w:val="06F67AE8"/>
    <w:rsid w:val="07130E46"/>
    <w:rsid w:val="07186A5F"/>
    <w:rsid w:val="07227B1B"/>
    <w:rsid w:val="072825CD"/>
    <w:rsid w:val="073E2907"/>
    <w:rsid w:val="07460A4B"/>
    <w:rsid w:val="074626CC"/>
    <w:rsid w:val="0748247A"/>
    <w:rsid w:val="07501D1B"/>
    <w:rsid w:val="075922D9"/>
    <w:rsid w:val="075A620F"/>
    <w:rsid w:val="075D55E7"/>
    <w:rsid w:val="07607790"/>
    <w:rsid w:val="076347E6"/>
    <w:rsid w:val="0766464A"/>
    <w:rsid w:val="076D2D8E"/>
    <w:rsid w:val="076E55E7"/>
    <w:rsid w:val="07705810"/>
    <w:rsid w:val="07721D14"/>
    <w:rsid w:val="078A677F"/>
    <w:rsid w:val="078D382F"/>
    <w:rsid w:val="078E23D0"/>
    <w:rsid w:val="07943F66"/>
    <w:rsid w:val="079A4FD9"/>
    <w:rsid w:val="07AC39D6"/>
    <w:rsid w:val="07AF2CC9"/>
    <w:rsid w:val="07B544E8"/>
    <w:rsid w:val="07B96D88"/>
    <w:rsid w:val="07B974E0"/>
    <w:rsid w:val="07C3432D"/>
    <w:rsid w:val="07C44470"/>
    <w:rsid w:val="07C74019"/>
    <w:rsid w:val="07D02080"/>
    <w:rsid w:val="07D13E6E"/>
    <w:rsid w:val="07D30BFA"/>
    <w:rsid w:val="07E35ABD"/>
    <w:rsid w:val="07E6420F"/>
    <w:rsid w:val="07E73BC2"/>
    <w:rsid w:val="07EC6C22"/>
    <w:rsid w:val="07EE2CD0"/>
    <w:rsid w:val="07FB171B"/>
    <w:rsid w:val="07FF6F8C"/>
    <w:rsid w:val="0803272E"/>
    <w:rsid w:val="080B4307"/>
    <w:rsid w:val="08101FCE"/>
    <w:rsid w:val="08112A0E"/>
    <w:rsid w:val="08210A81"/>
    <w:rsid w:val="08215F49"/>
    <w:rsid w:val="083D7FD2"/>
    <w:rsid w:val="08436ED5"/>
    <w:rsid w:val="084B2518"/>
    <w:rsid w:val="08513A15"/>
    <w:rsid w:val="08561AB7"/>
    <w:rsid w:val="085B56C4"/>
    <w:rsid w:val="08642452"/>
    <w:rsid w:val="0868476B"/>
    <w:rsid w:val="086C1E9B"/>
    <w:rsid w:val="086C72B8"/>
    <w:rsid w:val="08721412"/>
    <w:rsid w:val="08772FD1"/>
    <w:rsid w:val="08791E27"/>
    <w:rsid w:val="087E13DA"/>
    <w:rsid w:val="08873699"/>
    <w:rsid w:val="088F02E2"/>
    <w:rsid w:val="089D0894"/>
    <w:rsid w:val="089F39B2"/>
    <w:rsid w:val="08A526A7"/>
    <w:rsid w:val="08A67127"/>
    <w:rsid w:val="08A91467"/>
    <w:rsid w:val="08AA2DF8"/>
    <w:rsid w:val="08AE78EE"/>
    <w:rsid w:val="08CB1A13"/>
    <w:rsid w:val="08D61684"/>
    <w:rsid w:val="08D71DC1"/>
    <w:rsid w:val="08D86A84"/>
    <w:rsid w:val="08E34749"/>
    <w:rsid w:val="08EC2005"/>
    <w:rsid w:val="08EF3AE1"/>
    <w:rsid w:val="08F7182C"/>
    <w:rsid w:val="090229A2"/>
    <w:rsid w:val="091F28B9"/>
    <w:rsid w:val="09397525"/>
    <w:rsid w:val="093C676E"/>
    <w:rsid w:val="093D7697"/>
    <w:rsid w:val="09402058"/>
    <w:rsid w:val="09462962"/>
    <w:rsid w:val="094A6CDC"/>
    <w:rsid w:val="094B6562"/>
    <w:rsid w:val="09514E5F"/>
    <w:rsid w:val="09733701"/>
    <w:rsid w:val="097C2650"/>
    <w:rsid w:val="0981145C"/>
    <w:rsid w:val="0988616A"/>
    <w:rsid w:val="098F7F31"/>
    <w:rsid w:val="09954C03"/>
    <w:rsid w:val="09991A99"/>
    <w:rsid w:val="0999325E"/>
    <w:rsid w:val="09A31999"/>
    <w:rsid w:val="09A62AE0"/>
    <w:rsid w:val="09A66B2A"/>
    <w:rsid w:val="09A849CD"/>
    <w:rsid w:val="09B36A57"/>
    <w:rsid w:val="09B75759"/>
    <w:rsid w:val="09DA2D3C"/>
    <w:rsid w:val="09E2619B"/>
    <w:rsid w:val="09F22B06"/>
    <w:rsid w:val="0A046CBC"/>
    <w:rsid w:val="0A0540C4"/>
    <w:rsid w:val="0A11431F"/>
    <w:rsid w:val="0A134AB6"/>
    <w:rsid w:val="0A1B14E7"/>
    <w:rsid w:val="0A266B66"/>
    <w:rsid w:val="0A3168E2"/>
    <w:rsid w:val="0A3B66B9"/>
    <w:rsid w:val="0A406B60"/>
    <w:rsid w:val="0A4107C7"/>
    <w:rsid w:val="0A4D29A3"/>
    <w:rsid w:val="0A4F34E2"/>
    <w:rsid w:val="0A5C3760"/>
    <w:rsid w:val="0A6C780D"/>
    <w:rsid w:val="0A725F2B"/>
    <w:rsid w:val="0A736B0E"/>
    <w:rsid w:val="0A7E6509"/>
    <w:rsid w:val="0A9222DF"/>
    <w:rsid w:val="0A944E37"/>
    <w:rsid w:val="0A991367"/>
    <w:rsid w:val="0A9944DD"/>
    <w:rsid w:val="0AAC0D76"/>
    <w:rsid w:val="0AAE03D8"/>
    <w:rsid w:val="0AC80758"/>
    <w:rsid w:val="0ADF3888"/>
    <w:rsid w:val="0ADF73A7"/>
    <w:rsid w:val="0AEC2CB1"/>
    <w:rsid w:val="0AFE2095"/>
    <w:rsid w:val="0B0278B0"/>
    <w:rsid w:val="0B0824C8"/>
    <w:rsid w:val="0B0A6EF1"/>
    <w:rsid w:val="0B0B4A5A"/>
    <w:rsid w:val="0B0C11D8"/>
    <w:rsid w:val="0B0F072E"/>
    <w:rsid w:val="0B1A457E"/>
    <w:rsid w:val="0B1A6AB9"/>
    <w:rsid w:val="0B1C2C4B"/>
    <w:rsid w:val="0B1D3D5C"/>
    <w:rsid w:val="0B224F9A"/>
    <w:rsid w:val="0B2E43F6"/>
    <w:rsid w:val="0B313CCE"/>
    <w:rsid w:val="0B400160"/>
    <w:rsid w:val="0B404432"/>
    <w:rsid w:val="0B476496"/>
    <w:rsid w:val="0B495706"/>
    <w:rsid w:val="0B495BCC"/>
    <w:rsid w:val="0B505C57"/>
    <w:rsid w:val="0B5253DD"/>
    <w:rsid w:val="0B5315EF"/>
    <w:rsid w:val="0B6B3027"/>
    <w:rsid w:val="0B730DB0"/>
    <w:rsid w:val="0B770D15"/>
    <w:rsid w:val="0B7D2DB7"/>
    <w:rsid w:val="0B944602"/>
    <w:rsid w:val="0B965D92"/>
    <w:rsid w:val="0BA71DB9"/>
    <w:rsid w:val="0BAB1EFA"/>
    <w:rsid w:val="0BB67B6C"/>
    <w:rsid w:val="0BB72D31"/>
    <w:rsid w:val="0BC554FF"/>
    <w:rsid w:val="0BC81078"/>
    <w:rsid w:val="0BC93EE6"/>
    <w:rsid w:val="0BCE7EC6"/>
    <w:rsid w:val="0BD25600"/>
    <w:rsid w:val="0BD31F74"/>
    <w:rsid w:val="0BD332BC"/>
    <w:rsid w:val="0BD80054"/>
    <w:rsid w:val="0BDC6147"/>
    <w:rsid w:val="0BDC615B"/>
    <w:rsid w:val="0BE246A9"/>
    <w:rsid w:val="0BE63B5C"/>
    <w:rsid w:val="0BF35005"/>
    <w:rsid w:val="0BF414F0"/>
    <w:rsid w:val="0BF80AD7"/>
    <w:rsid w:val="0BFF6B29"/>
    <w:rsid w:val="0C0157BD"/>
    <w:rsid w:val="0C062C27"/>
    <w:rsid w:val="0C195685"/>
    <w:rsid w:val="0C1A1B7C"/>
    <w:rsid w:val="0C1E1762"/>
    <w:rsid w:val="0C240BD4"/>
    <w:rsid w:val="0C286D24"/>
    <w:rsid w:val="0C2F4C51"/>
    <w:rsid w:val="0C307516"/>
    <w:rsid w:val="0C37124C"/>
    <w:rsid w:val="0C3B57CB"/>
    <w:rsid w:val="0C3C254C"/>
    <w:rsid w:val="0C494413"/>
    <w:rsid w:val="0C5A60AC"/>
    <w:rsid w:val="0C5C6566"/>
    <w:rsid w:val="0C6538AF"/>
    <w:rsid w:val="0C717445"/>
    <w:rsid w:val="0C7711B0"/>
    <w:rsid w:val="0C841B16"/>
    <w:rsid w:val="0C90080C"/>
    <w:rsid w:val="0C975070"/>
    <w:rsid w:val="0CB23A43"/>
    <w:rsid w:val="0CB40642"/>
    <w:rsid w:val="0CBE5B67"/>
    <w:rsid w:val="0CC76818"/>
    <w:rsid w:val="0CCD100F"/>
    <w:rsid w:val="0CCE3A07"/>
    <w:rsid w:val="0CEC0ABC"/>
    <w:rsid w:val="0CF45EFE"/>
    <w:rsid w:val="0CF61CF0"/>
    <w:rsid w:val="0CFC076C"/>
    <w:rsid w:val="0CFE03AF"/>
    <w:rsid w:val="0D0D01E8"/>
    <w:rsid w:val="0D1762F9"/>
    <w:rsid w:val="0D1F5084"/>
    <w:rsid w:val="0D262E16"/>
    <w:rsid w:val="0D426B05"/>
    <w:rsid w:val="0D455CD6"/>
    <w:rsid w:val="0D471865"/>
    <w:rsid w:val="0D4D234A"/>
    <w:rsid w:val="0D5527DE"/>
    <w:rsid w:val="0D5B2789"/>
    <w:rsid w:val="0D5F77C2"/>
    <w:rsid w:val="0D6B1A23"/>
    <w:rsid w:val="0D6D4883"/>
    <w:rsid w:val="0D7356B9"/>
    <w:rsid w:val="0D776931"/>
    <w:rsid w:val="0D7C1444"/>
    <w:rsid w:val="0D7D2693"/>
    <w:rsid w:val="0D7F0112"/>
    <w:rsid w:val="0D9E32CE"/>
    <w:rsid w:val="0DA921A3"/>
    <w:rsid w:val="0DAE2F6E"/>
    <w:rsid w:val="0DB30A54"/>
    <w:rsid w:val="0DB44188"/>
    <w:rsid w:val="0DB85D6D"/>
    <w:rsid w:val="0DD03350"/>
    <w:rsid w:val="0DD940C1"/>
    <w:rsid w:val="0DDC2A44"/>
    <w:rsid w:val="0DF27DE2"/>
    <w:rsid w:val="0DF60CA1"/>
    <w:rsid w:val="0DFF03F7"/>
    <w:rsid w:val="0E03263F"/>
    <w:rsid w:val="0E0551E9"/>
    <w:rsid w:val="0E101453"/>
    <w:rsid w:val="0E106743"/>
    <w:rsid w:val="0E184153"/>
    <w:rsid w:val="0E1A1F05"/>
    <w:rsid w:val="0E271FE6"/>
    <w:rsid w:val="0E2C0AB5"/>
    <w:rsid w:val="0E326C66"/>
    <w:rsid w:val="0E366223"/>
    <w:rsid w:val="0E3951D1"/>
    <w:rsid w:val="0E402565"/>
    <w:rsid w:val="0E460756"/>
    <w:rsid w:val="0E4839CD"/>
    <w:rsid w:val="0E4B162A"/>
    <w:rsid w:val="0E651FAA"/>
    <w:rsid w:val="0E704D3B"/>
    <w:rsid w:val="0E7A5F22"/>
    <w:rsid w:val="0E7B4EA8"/>
    <w:rsid w:val="0E7C7E77"/>
    <w:rsid w:val="0E8556F7"/>
    <w:rsid w:val="0E903568"/>
    <w:rsid w:val="0E9A46D0"/>
    <w:rsid w:val="0E9D7789"/>
    <w:rsid w:val="0EAB12D6"/>
    <w:rsid w:val="0EAF3630"/>
    <w:rsid w:val="0EB3291A"/>
    <w:rsid w:val="0EB46729"/>
    <w:rsid w:val="0EC33A15"/>
    <w:rsid w:val="0EC94DD1"/>
    <w:rsid w:val="0EDD333D"/>
    <w:rsid w:val="0EDF2959"/>
    <w:rsid w:val="0EEE2A46"/>
    <w:rsid w:val="0EF25CEF"/>
    <w:rsid w:val="0F003292"/>
    <w:rsid w:val="0F0A0E80"/>
    <w:rsid w:val="0F1505DF"/>
    <w:rsid w:val="0F256764"/>
    <w:rsid w:val="0F326371"/>
    <w:rsid w:val="0F335AF5"/>
    <w:rsid w:val="0F3C020D"/>
    <w:rsid w:val="0F4258DA"/>
    <w:rsid w:val="0F48270E"/>
    <w:rsid w:val="0F4B411F"/>
    <w:rsid w:val="0F5B4E2E"/>
    <w:rsid w:val="0F5F677E"/>
    <w:rsid w:val="0F621F29"/>
    <w:rsid w:val="0F8A3672"/>
    <w:rsid w:val="0F8F4D6D"/>
    <w:rsid w:val="0F9460CC"/>
    <w:rsid w:val="0F9A1426"/>
    <w:rsid w:val="0F9C185C"/>
    <w:rsid w:val="0FA0348F"/>
    <w:rsid w:val="0FA273E7"/>
    <w:rsid w:val="0FA76154"/>
    <w:rsid w:val="0FAD1A9E"/>
    <w:rsid w:val="0FC1633F"/>
    <w:rsid w:val="0FE04936"/>
    <w:rsid w:val="0FE327C6"/>
    <w:rsid w:val="0FFB7341"/>
    <w:rsid w:val="0FFF4C90"/>
    <w:rsid w:val="10053720"/>
    <w:rsid w:val="100F6655"/>
    <w:rsid w:val="100F66B3"/>
    <w:rsid w:val="10200452"/>
    <w:rsid w:val="10235350"/>
    <w:rsid w:val="105636EE"/>
    <w:rsid w:val="10597DA7"/>
    <w:rsid w:val="105B3D13"/>
    <w:rsid w:val="105B7F1A"/>
    <w:rsid w:val="10605DA9"/>
    <w:rsid w:val="10821999"/>
    <w:rsid w:val="109378DB"/>
    <w:rsid w:val="10A179BC"/>
    <w:rsid w:val="10A36E25"/>
    <w:rsid w:val="10AF52BC"/>
    <w:rsid w:val="10B479E7"/>
    <w:rsid w:val="10BE1048"/>
    <w:rsid w:val="10C07DD8"/>
    <w:rsid w:val="10C17EF3"/>
    <w:rsid w:val="10C940A9"/>
    <w:rsid w:val="10CF39DF"/>
    <w:rsid w:val="10D12B64"/>
    <w:rsid w:val="10D247FF"/>
    <w:rsid w:val="10E223C1"/>
    <w:rsid w:val="10E46CE9"/>
    <w:rsid w:val="10E63D41"/>
    <w:rsid w:val="10ED28E2"/>
    <w:rsid w:val="10F0352C"/>
    <w:rsid w:val="10F45528"/>
    <w:rsid w:val="10F8126C"/>
    <w:rsid w:val="10FB1E95"/>
    <w:rsid w:val="11012224"/>
    <w:rsid w:val="11092CA2"/>
    <w:rsid w:val="110B6A14"/>
    <w:rsid w:val="110E55EF"/>
    <w:rsid w:val="11141894"/>
    <w:rsid w:val="11184777"/>
    <w:rsid w:val="112568B7"/>
    <w:rsid w:val="113A1506"/>
    <w:rsid w:val="11451584"/>
    <w:rsid w:val="114E76BB"/>
    <w:rsid w:val="115065BF"/>
    <w:rsid w:val="116E79E5"/>
    <w:rsid w:val="11746027"/>
    <w:rsid w:val="11756DBF"/>
    <w:rsid w:val="117F18C3"/>
    <w:rsid w:val="11847CF3"/>
    <w:rsid w:val="11851D87"/>
    <w:rsid w:val="11874A5D"/>
    <w:rsid w:val="118D5A4D"/>
    <w:rsid w:val="11914F27"/>
    <w:rsid w:val="11B07C58"/>
    <w:rsid w:val="11B07CA3"/>
    <w:rsid w:val="11B25C39"/>
    <w:rsid w:val="11B76511"/>
    <w:rsid w:val="11B8496D"/>
    <w:rsid w:val="11BE46AB"/>
    <w:rsid w:val="11D47794"/>
    <w:rsid w:val="11D671CD"/>
    <w:rsid w:val="11D72E1D"/>
    <w:rsid w:val="11DE597A"/>
    <w:rsid w:val="11E50CCE"/>
    <w:rsid w:val="11E9376F"/>
    <w:rsid w:val="11F14676"/>
    <w:rsid w:val="11F370A8"/>
    <w:rsid w:val="11FA5B69"/>
    <w:rsid w:val="12010C52"/>
    <w:rsid w:val="12021EE5"/>
    <w:rsid w:val="12135CD5"/>
    <w:rsid w:val="12211766"/>
    <w:rsid w:val="122700CD"/>
    <w:rsid w:val="12275CE4"/>
    <w:rsid w:val="122C0293"/>
    <w:rsid w:val="1230386E"/>
    <w:rsid w:val="12324F2F"/>
    <w:rsid w:val="123A62E6"/>
    <w:rsid w:val="123C5B53"/>
    <w:rsid w:val="123C7C17"/>
    <w:rsid w:val="123D6E76"/>
    <w:rsid w:val="123E3713"/>
    <w:rsid w:val="12421E54"/>
    <w:rsid w:val="1246153E"/>
    <w:rsid w:val="1255472B"/>
    <w:rsid w:val="12654542"/>
    <w:rsid w:val="126710AC"/>
    <w:rsid w:val="126E433E"/>
    <w:rsid w:val="12726214"/>
    <w:rsid w:val="12810877"/>
    <w:rsid w:val="129079C6"/>
    <w:rsid w:val="12945B1E"/>
    <w:rsid w:val="12A54002"/>
    <w:rsid w:val="12A65B46"/>
    <w:rsid w:val="12AD08A4"/>
    <w:rsid w:val="12AD4A16"/>
    <w:rsid w:val="12B70960"/>
    <w:rsid w:val="12C2668C"/>
    <w:rsid w:val="12D14B64"/>
    <w:rsid w:val="12D8606F"/>
    <w:rsid w:val="12DF1A8E"/>
    <w:rsid w:val="12E6172D"/>
    <w:rsid w:val="12E83429"/>
    <w:rsid w:val="13077E54"/>
    <w:rsid w:val="13094BAE"/>
    <w:rsid w:val="1310599F"/>
    <w:rsid w:val="13205400"/>
    <w:rsid w:val="13242152"/>
    <w:rsid w:val="13311EEC"/>
    <w:rsid w:val="13426A46"/>
    <w:rsid w:val="13546EFE"/>
    <w:rsid w:val="135C06E0"/>
    <w:rsid w:val="135C2DB9"/>
    <w:rsid w:val="135C59BB"/>
    <w:rsid w:val="135D776B"/>
    <w:rsid w:val="13614278"/>
    <w:rsid w:val="1364230C"/>
    <w:rsid w:val="136F70BF"/>
    <w:rsid w:val="13731360"/>
    <w:rsid w:val="13755521"/>
    <w:rsid w:val="137A1E90"/>
    <w:rsid w:val="137B1CBE"/>
    <w:rsid w:val="13885E98"/>
    <w:rsid w:val="13891E68"/>
    <w:rsid w:val="138D37B3"/>
    <w:rsid w:val="13991AFF"/>
    <w:rsid w:val="139D4719"/>
    <w:rsid w:val="13AD52DE"/>
    <w:rsid w:val="13AD7B21"/>
    <w:rsid w:val="13AE1D41"/>
    <w:rsid w:val="13B81178"/>
    <w:rsid w:val="13B91F69"/>
    <w:rsid w:val="13C3658F"/>
    <w:rsid w:val="13D47B51"/>
    <w:rsid w:val="13DA17A5"/>
    <w:rsid w:val="13DA34E5"/>
    <w:rsid w:val="13DE12B9"/>
    <w:rsid w:val="13E3068B"/>
    <w:rsid w:val="13E67FA2"/>
    <w:rsid w:val="13E715E1"/>
    <w:rsid w:val="13E77D97"/>
    <w:rsid w:val="13ED15B1"/>
    <w:rsid w:val="13EE7E2D"/>
    <w:rsid w:val="13F21A90"/>
    <w:rsid w:val="13FD36C0"/>
    <w:rsid w:val="13FE1C28"/>
    <w:rsid w:val="14050A70"/>
    <w:rsid w:val="14162537"/>
    <w:rsid w:val="141826F3"/>
    <w:rsid w:val="1420161E"/>
    <w:rsid w:val="14240C8B"/>
    <w:rsid w:val="14295688"/>
    <w:rsid w:val="1430315C"/>
    <w:rsid w:val="14341FF7"/>
    <w:rsid w:val="14344864"/>
    <w:rsid w:val="143926B3"/>
    <w:rsid w:val="143D7545"/>
    <w:rsid w:val="143F6E8F"/>
    <w:rsid w:val="144105E6"/>
    <w:rsid w:val="14426420"/>
    <w:rsid w:val="14510A53"/>
    <w:rsid w:val="14517BD2"/>
    <w:rsid w:val="14601B16"/>
    <w:rsid w:val="14623905"/>
    <w:rsid w:val="14647605"/>
    <w:rsid w:val="1466339E"/>
    <w:rsid w:val="146D780E"/>
    <w:rsid w:val="14705AB2"/>
    <w:rsid w:val="147F16E3"/>
    <w:rsid w:val="14BC008C"/>
    <w:rsid w:val="14CB2D41"/>
    <w:rsid w:val="14D87D6B"/>
    <w:rsid w:val="14D90168"/>
    <w:rsid w:val="14DA3145"/>
    <w:rsid w:val="14DC5F3B"/>
    <w:rsid w:val="14E504BC"/>
    <w:rsid w:val="14EE4B38"/>
    <w:rsid w:val="14F75F34"/>
    <w:rsid w:val="14F82BE7"/>
    <w:rsid w:val="14FD0B4F"/>
    <w:rsid w:val="14FD2B70"/>
    <w:rsid w:val="15135280"/>
    <w:rsid w:val="1536668A"/>
    <w:rsid w:val="153A1C35"/>
    <w:rsid w:val="154409BC"/>
    <w:rsid w:val="15475998"/>
    <w:rsid w:val="15571EF9"/>
    <w:rsid w:val="155B1F94"/>
    <w:rsid w:val="155E49B3"/>
    <w:rsid w:val="156237FE"/>
    <w:rsid w:val="15642A1D"/>
    <w:rsid w:val="15650096"/>
    <w:rsid w:val="156B1A37"/>
    <w:rsid w:val="156B2FE3"/>
    <w:rsid w:val="15717460"/>
    <w:rsid w:val="1579268F"/>
    <w:rsid w:val="15836484"/>
    <w:rsid w:val="158A3F0B"/>
    <w:rsid w:val="15976FE4"/>
    <w:rsid w:val="15B64F17"/>
    <w:rsid w:val="15BB1B11"/>
    <w:rsid w:val="15C834FA"/>
    <w:rsid w:val="15DE47FA"/>
    <w:rsid w:val="15ED6680"/>
    <w:rsid w:val="15F17ABB"/>
    <w:rsid w:val="15FD1706"/>
    <w:rsid w:val="1606688A"/>
    <w:rsid w:val="160A1946"/>
    <w:rsid w:val="16133199"/>
    <w:rsid w:val="161E1A6E"/>
    <w:rsid w:val="1623783B"/>
    <w:rsid w:val="162446B1"/>
    <w:rsid w:val="16274885"/>
    <w:rsid w:val="163A6BAD"/>
    <w:rsid w:val="163F6B57"/>
    <w:rsid w:val="16436711"/>
    <w:rsid w:val="164713B6"/>
    <w:rsid w:val="16477284"/>
    <w:rsid w:val="16496705"/>
    <w:rsid w:val="165938DB"/>
    <w:rsid w:val="1662725D"/>
    <w:rsid w:val="168C706A"/>
    <w:rsid w:val="168D6F23"/>
    <w:rsid w:val="16A45867"/>
    <w:rsid w:val="16A8318D"/>
    <w:rsid w:val="16E35102"/>
    <w:rsid w:val="16EC649E"/>
    <w:rsid w:val="16EE7605"/>
    <w:rsid w:val="16F86354"/>
    <w:rsid w:val="16F92B3A"/>
    <w:rsid w:val="16FA0EC3"/>
    <w:rsid w:val="170D49B5"/>
    <w:rsid w:val="17124EF0"/>
    <w:rsid w:val="17147138"/>
    <w:rsid w:val="173414CA"/>
    <w:rsid w:val="173630E8"/>
    <w:rsid w:val="17401803"/>
    <w:rsid w:val="1747359B"/>
    <w:rsid w:val="174A40A3"/>
    <w:rsid w:val="17536AA9"/>
    <w:rsid w:val="175D347E"/>
    <w:rsid w:val="175F71C4"/>
    <w:rsid w:val="1761049E"/>
    <w:rsid w:val="176804A6"/>
    <w:rsid w:val="17753207"/>
    <w:rsid w:val="177F4A54"/>
    <w:rsid w:val="177F673D"/>
    <w:rsid w:val="17822F2A"/>
    <w:rsid w:val="17824EF7"/>
    <w:rsid w:val="178B5864"/>
    <w:rsid w:val="178D2B08"/>
    <w:rsid w:val="17A02272"/>
    <w:rsid w:val="17AA1408"/>
    <w:rsid w:val="17AB5AFC"/>
    <w:rsid w:val="17CE385E"/>
    <w:rsid w:val="17D25E75"/>
    <w:rsid w:val="17D64146"/>
    <w:rsid w:val="17E9786C"/>
    <w:rsid w:val="17EE4B42"/>
    <w:rsid w:val="17F44F5A"/>
    <w:rsid w:val="18007952"/>
    <w:rsid w:val="180413DC"/>
    <w:rsid w:val="18054519"/>
    <w:rsid w:val="18063837"/>
    <w:rsid w:val="18140646"/>
    <w:rsid w:val="18221626"/>
    <w:rsid w:val="18261D2D"/>
    <w:rsid w:val="182A3992"/>
    <w:rsid w:val="182E55ED"/>
    <w:rsid w:val="18306E46"/>
    <w:rsid w:val="183239CC"/>
    <w:rsid w:val="183E0048"/>
    <w:rsid w:val="185707DB"/>
    <w:rsid w:val="18586464"/>
    <w:rsid w:val="186277DB"/>
    <w:rsid w:val="186B10BE"/>
    <w:rsid w:val="18844CCF"/>
    <w:rsid w:val="188A4CD2"/>
    <w:rsid w:val="188A5C62"/>
    <w:rsid w:val="18962597"/>
    <w:rsid w:val="189701A0"/>
    <w:rsid w:val="189C6512"/>
    <w:rsid w:val="18AB1143"/>
    <w:rsid w:val="18C72EE2"/>
    <w:rsid w:val="18C904F0"/>
    <w:rsid w:val="18CB1B04"/>
    <w:rsid w:val="18CD3BC2"/>
    <w:rsid w:val="18CF0809"/>
    <w:rsid w:val="18D46783"/>
    <w:rsid w:val="18D62B0B"/>
    <w:rsid w:val="18E87BF1"/>
    <w:rsid w:val="18F3463C"/>
    <w:rsid w:val="18F83E26"/>
    <w:rsid w:val="18FA6BD8"/>
    <w:rsid w:val="18FB4361"/>
    <w:rsid w:val="18FE306E"/>
    <w:rsid w:val="19010385"/>
    <w:rsid w:val="19157CE6"/>
    <w:rsid w:val="192874AE"/>
    <w:rsid w:val="19364FBB"/>
    <w:rsid w:val="19413DEC"/>
    <w:rsid w:val="194801AA"/>
    <w:rsid w:val="195139E6"/>
    <w:rsid w:val="19573925"/>
    <w:rsid w:val="1963772A"/>
    <w:rsid w:val="19686B5B"/>
    <w:rsid w:val="19690BB2"/>
    <w:rsid w:val="196B6C9A"/>
    <w:rsid w:val="19716570"/>
    <w:rsid w:val="197719AE"/>
    <w:rsid w:val="1985167E"/>
    <w:rsid w:val="19851707"/>
    <w:rsid w:val="19874124"/>
    <w:rsid w:val="19A62DD4"/>
    <w:rsid w:val="19B56552"/>
    <w:rsid w:val="19BB42D7"/>
    <w:rsid w:val="19C53BCF"/>
    <w:rsid w:val="19C74EAB"/>
    <w:rsid w:val="19D05532"/>
    <w:rsid w:val="19D332B7"/>
    <w:rsid w:val="19D844B0"/>
    <w:rsid w:val="19E23EA0"/>
    <w:rsid w:val="19F52F08"/>
    <w:rsid w:val="19FB7349"/>
    <w:rsid w:val="1A0157AA"/>
    <w:rsid w:val="1A102553"/>
    <w:rsid w:val="1A2A73A9"/>
    <w:rsid w:val="1A2B73C0"/>
    <w:rsid w:val="1A2B7D4E"/>
    <w:rsid w:val="1A360265"/>
    <w:rsid w:val="1A3B0BA8"/>
    <w:rsid w:val="1A4B15CE"/>
    <w:rsid w:val="1A5D7E7E"/>
    <w:rsid w:val="1A601732"/>
    <w:rsid w:val="1A62510A"/>
    <w:rsid w:val="1A6E43A1"/>
    <w:rsid w:val="1A7976E0"/>
    <w:rsid w:val="1A7B2B21"/>
    <w:rsid w:val="1A806143"/>
    <w:rsid w:val="1A8609DB"/>
    <w:rsid w:val="1A956720"/>
    <w:rsid w:val="1AA63B63"/>
    <w:rsid w:val="1AA9450D"/>
    <w:rsid w:val="1AC7685D"/>
    <w:rsid w:val="1AD431EC"/>
    <w:rsid w:val="1ADB57F2"/>
    <w:rsid w:val="1AE50978"/>
    <w:rsid w:val="1AF45CB3"/>
    <w:rsid w:val="1AF46D78"/>
    <w:rsid w:val="1AFC2FD9"/>
    <w:rsid w:val="1AFE031B"/>
    <w:rsid w:val="1AFE6073"/>
    <w:rsid w:val="1B011BA1"/>
    <w:rsid w:val="1B0445E6"/>
    <w:rsid w:val="1B086B67"/>
    <w:rsid w:val="1B097B88"/>
    <w:rsid w:val="1B1A662C"/>
    <w:rsid w:val="1B1D3F50"/>
    <w:rsid w:val="1B1E0A08"/>
    <w:rsid w:val="1B272FEB"/>
    <w:rsid w:val="1B2C5B24"/>
    <w:rsid w:val="1B2E41C1"/>
    <w:rsid w:val="1B3736F3"/>
    <w:rsid w:val="1B39303F"/>
    <w:rsid w:val="1B407E2E"/>
    <w:rsid w:val="1B430EFA"/>
    <w:rsid w:val="1B44656A"/>
    <w:rsid w:val="1B506D08"/>
    <w:rsid w:val="1B522AC3"/>
    <w:rsid w:val="1B537D46"/>
    <w:rsid w:val="1B596F5C"/>
    <w:rsid w:val="1B5A3606"/>
    <w:rsid w:val="1B5D12FD"/>
    <w:rsid w:val="1B782BDA"/>
    <w:rsid w:val="1B7B5B75"/>
    <w:rsid w:val="1B81689F"/>
    <w:rsid w:val="1B8669E9"/>
    <w:rsid w:val="1B8675D2"/>
    <w:rsid w:val="1B8F4B0E"/>
    <w:rsid w:val="1B962F90"/>
    <w:rsid w:val="1B971DB2"/>
    <w:rsid w:val="1BA41592"/>
    <w:rsid w:val="1BA57DBA"/>
    <w:rsid w:val="1BAF7539"/>
    <w:rsid w:val="1BB05356"/>
    <w:rsid w:val="1BB56AAC"/>
    <w:rsid w:val="1BB94BC1"/>
    <w:rsid w:val="1BBF73C3"/>
    <w:rsid w:val="1BC33BE7"/>
    <w:rsid w:val="1BC569A3"/>
    <w:rsid w:val="1BC67186"/>
    <w:rsid w:val="1BD26FB6"/>
    <w:rsid w:val="1BEB3C12"/>
    <w:rsid w:val="1BED4B99"/>
    <w:rsid w:val="1BF343E8"/>
    <w:rsid w:val="1BFD35D8"/>
    <w:rsid w:val="1C005D13"/>
    <w:rsid w:val="1C0742FD"/>
    <w:rsid w:val="1C096144"/>
    <w:rsid w:val="1C0C6F92"/>
    <w:rsid w:val="1C10508F"/>
    <w:rsid w:val="1C1A2E82"/>
    <w:rsid w:val="1C201275"/>
    <w:rsid w:val="1C2838DC"/>
    <w:rsid w:val="1C314B61"/>
    <w:rsid w:val="1C3B1883"/>
    <w:rsid w:val="1C3C0AEC"/>
    <w:rsid w:val="1C4120D3"/>
    <w:rsid w:val="1C416D0E"/>
    <w:rsid w:val="1C5B681C"/>
    <w:rsid w:val="1C6477CF"/>
    <w:rsid w:val="1C766768"/>
    <w:rsid w:val="1C770429"/>
    <w:rsid w:val="1C827615"/>
    <w:rsid w:val="1C863338"/>
    <w:rsid w:val="1C88273E"/>
    <w:rsid w:val="1C8D7EC1"/>
    <w:rsid w:val="1C9E06DF"/>
    <w:rsid w:val="1CB12C48"/>
    <w:rsid w:val="1CBE5CB5"/>
    <w:rsid w:val="1CC24359"/>
    <w:rsid w:val="1CC65ADE"/>
    <w:rsid w:val="1CCE4934"/>
    <w:rsid w:val="1CE1410F"/>
    <w:rsid w:val="1CEE122F"/>
    <w:rsid w:val="1CFB1D20"/>
    <w:rsid w:val="1D0F00CB"/>
    <w:rsid w:val="1D107753"/>
    <w:rsid w:val="1D150F54"/>
    <w:rsid w:val="1D164639"/>
    <w:rsid w:val="1D1E6B20"/>
    <w:rsid w:val="1D222301"/>
    <w:rsid w:val="1D2C48D0"/>
    <w:rsid w:val="1D2C6232"/>
    <w:rsid w:val="1D2E4789"/>
    <w:rsid w:val="1D312C49"/>
    <w:rsid w:val="1D3D5026"/>
    <w:rsid w:val="1D53731D"/>
    <w:rsid w:val="1D54734E"/>
    <w:rsid w:val="1D5B1ECC"/>
    <w:rsid w:val="1D5F23FC"/>
    <w:rsid w:val="1D6B2F25"/>
    <w:rsid w:val="1D7031F3"/>
    <w:rsid w:val="1D712CE9"/>
    <w:rsid w:val="1D7613EF"/>
    <w:rsid w:val="1D776B39"/>
    <w:rsid w:val="1D8372ED"/>
    <w:rsid w:val="1D840EB7"/>
    <w:rsid w:val="1D8F0AB4"/>
    <w:rsid w:val="1D9470FD"/>
    <w:rsid w:val="1D9971EE"/>
    <w:rsid w:val="1DA35A0B"/>
    <w:rsid w:val="1DAE4F40"/>
    <w:rsid w:val="1DB010E3"/>
    <w:rsid w:val="1DB15348"/>
    <w:rsid w:val="1DB84EF2"/>
    <w:rsid w:val="1DBF16F6"/>
    <w:rsid w:val="1DC2507C"/>
    <w:rsid w:val="1DC3033A"/>
    <w:rsid w:val="1DE356E1"/>
    <w:rsid w:val="1DEC2F1C"/>
    <w:rsid w:val="1E037F30"/>
    <w:rsid w:val="1E083AD3"/>
    <w:rsid w:val="1E1160C5"/>
    <w:rsid w:val="1E1924E6"/>
    <w:rsid w:val="1E1E232E"/>
    <w:rsid w:val="1E240E68"/>
    <w:rsid w:val="1E3C3B5D"/>
    <w:rsid w:val="1E3D5AE6"/>
    <w:rsid w:val="1E4C7F60"/>
    <w:rsid w:val="1E4F04A2"/>
    <w:rsid w:val="1E4F2E8E"/>
    <w:rsid w:val="1E5660D4"/>
    <w:rsid w:val="1E6F42D5"/>
    <w:rsid w:val="1E7241A4"/>
    <w:rsid w:val="1E725A81"/>
    <w:rsid w:val="1E766C08"/>
    <w:rsid w:val="1E7E719D"/>
    <w:rsid w:val="1E7E7687"/>
    <w:rsid w:val="1E7F0002"/>
    <w:rsid w:val="1E821BFD"/>
    <w:rsid w:val="1E8D7893"/>
    <w:rsid w:val="1E8E6827"/>
    <w:rsid w:val="1E910C04"/>
    <w:rsid w:val="1E954B32"/>
    <w:rsid w:val="1E9714C0"/>
    <w:rsid w:val="1E97730F"/>
    <w:rsid w:val="1E9A3A2A"/>
    <w:rsid w:val="1E9B1F00"/>
    <w:rsid w:val="1E9C4586"/>
    <w:rsid w:val="1E9F0889"/>
    <w:rsid w:val="1EA85426"/>
    <w:rsid w:val="1EC041C4"/>
    <w:rsid w:val="1EC52568"/>
    <w:rsid w:val="1ED37185"/>
    <w:rsid w:val="1ED86E55"/>
    <w:rsid w:val="1EFA40F6"/>
    <w:rsid w:val="1EFD3D14"/>
    <w:rsid w:val="1F017D56"/>
    <w:rsid w:val="1F0B4D43"/>
    <w:rsid w:val="1F0E3D29"/>
    <w:rsid w:val="1F110FFC"/>
    <w:rsid w:val="1F113150"/>
    <w:rsid w:val="1F1719BD"/>
    <w:rsid w:val="1F1B658E"/>
    <w:rsid w:val="1F285989"/>
    <w:rsid w:val="1F2C5DE8"/>
    <w:rsid w:val="1F3166D7"/>
    <w:rsid w:val="1F411711"/>
    <w:rsid w:val="1F41197C"/>
    <w:rsid w:val="1F461007"/>
    <w:rsid w:val="1F4A066C"/>
    <w:rsid w:val="1F4C3EB2"/>
    <w:rsid w:val="1F652606"/>
    <w:rsid w:val="1F683F3E"/>
    <w:rsid w:val="1F7847C5"/>
    <w:rsid w:val="1F7952DC"/>
    <w:rsid w:val="1F886A1A"/>
    <w:rsid w:val="1F8B2722"/>
    <w:rsid w:val="1F925C79"/>
    <w:rsid w:val="1F9873B2"/>
    <w:rsid w:val="1FA0196F"/>
    <w:rsid w:val="1FA6727C"/>
    <w:rsid w:val="1FA72EE9"/>
    <w:rsid w:val="1FA777BC"/>
    <w:rsid w:val="1FA85D1E"/>
    <w:rsid w:val="1FB04CBA"/>
    <w:rsid w:val="1FB71BF2"/>
    <w:rsid w:val="1FCE1DFA"/>
    <w:rsid w:val="1FCF19C4"/>
    <w:rsid w:val="1FF45F9F"/>
    <w:rsid w:val="1FFB46C1"/>
    <w:rsid w:val="1FFD11D7"/>
    <w:rsid w:val="200B505B"/>
    <w:rsid w:val="20153E78"/>
    <w:rsid w:val="201A4162"/>
    <w:rsid w:val="201E0E6D"/>
    <w:rsid w:val="20212961"/>
    <w:rsid w:val="20253A52"/>
    <w:rsid w:val="202A462E"/>
    <w:rsid w:val="204643E3"/>
    <w:rsid w:val="204B44EB"/>
    <w:rsid w:val="204E7F29"/>
    <w:rsid w:val="205731EF"/>
    <w:rsid w:val="205A31C3"/>
    <w:rsid w:val="205B396B"/>
    <w:rsid w:val="205D4724"/>
    <w:rsid w:val="205E4B6F"/>
    <w:rsid w:val="206A261F"/>
    <w:rsid w:val="207032F4"/>
    <w:rsid w:val="207E0F13"/>
    <w:rsid w:val="208B21FB"/>
    <w:rsid w:val="20951111"/>
    <w:rsid w:val="20A00CCE"/>
    <w:rsid w:val="20A63C6C"/>
    <w:rsid w:val="20A72A54"/>
    <w:rsid w:val="20B25139"/>
    <w:rsid w:val="20BA3F58"/>
    <w:rsid w:val="20C14BCA"/>
    <w:rsid w:val="20CA7368"/>
    <w:rsid w:val="20CB61D9"/>
    <w:rsid w:val="20D2602A"/>
    <w:rsid w:val="20D859B6"/>
    <w:rsid w:val="20E66565"/>
    <w:rsid w:val="20F20FB9"/>
    <w:rsid w:val="20FC5582"/>
    <w:rsid w:val="21075E63"/>
    <w:rsid w:val="210B43B4"/>
    <w:rsid w:val="21151924"/>
    <w:rsid w:val="211F6778"/>
    <w:rsid w:val="2121536F"/>
    <w:rsid w:val="213E674F"/>
    <w:rsid w:val="213E6E79"/>
    <w:rsid w:val="214E1BAB"/>
    <w:rsid w:val="214E2A23"/>
    <w:rsid w:val="215D19DB"/>
    <w:rsid w:val="215D65FC"/>
    <w:rsid w:val="21601A18"/>
    <w:rsid w:val="21636309"/>
    <w:rsid w:val="21664B75"/>
    <w:rsid w:val="216663B9"/>
    <w:rsid w:val="218003CB"/>
    <w:rsid w:val="21965861"/>
    <w:rsid w:val="219735A0"/>
    <w:rsid w:val="219811BC"/>
    <w:rsid w:val="219C187A"/>
    <w:rsid w:val="219E3D7A"/>
    <w:rsid w:val="21A25AD1"/>
    <w:rsid w:val="21A40E55"/>
    <w:rsid w:val="21A724E9"/>
    <w:rsid w:val="21B86003"/>
    <w:rsid w:val="21C404CF"/>
    <w:rsid w:val="21CA227F"/>
    <w:rsid w:val="21D22D1B"/>
    <w:rsid w:val="21D97A04"/>
    <w:rsid w:val="21DF5540"/>
    <w:rsid w:val="21F17236"/>
    <w:rsid w:val="21F25589"/>
    <w:rsid w:val="21F47AA0"/>
    <w:rsid w:val="221009E1"/>
    <w:rsid w:val="221265C9"/>
    <w:rsid w:val="22142A86"/>
    <w:rsid w:val="22185B11"/>
    <w:rsid w:val="221C195B"/>
    <w:rsid w:val="2222726D"/>
    <w:rsid w:val="223573E9"/>
    <w:rsid w:val="225300AE"/>
    <w:rsid w:val="226F6AF8"/>
    <w:rsid w:val="22725413"/>
    <w:rsid w:val="22791EF6"/>
    <w:rsid w:val="227F5CE7"/>
    <w:rsid w:val="228D52EC"/>
    <w:rsid w:val="229526AA"/>
    <w:rsid w:val="22957E34"/>
    <w:rsid w:val="229A0630"/>
    <w:rsid w:val="22A379F1"/>
    <w:rsid w:val="22AF4EC2"/>
    <w:rsid w:val="22B14596"/>
    <w:rsid w:val="22B62799"/>
    <w:rsid w:val="22B66DFE"/>
    <w:rsid w:val="22BD45D0"/>
    <w:rsid w:val="22C00218"/>
    <w:rsid w:val="22D2599F"/>
    <w:rsid w:val="22E1788A"/>
    <w:rsid w:val="22E509B7"/>
    <w:rsid w:val="22EC129A"/>
    <w:rsid w:val="23025FE6"/>
    <w:rsid w:val="230310B1"/>
    <w:rsid w:val="23074713"/>
    <w:rsid w:val="23152D4B"/>
    <w:rsid w:val="231839D2"/>
    <w:rsid w:val="232049BA"/>
    <w:rsid w:val="23275DD7"/>
    <w:rsid w:val="233D2FB1"/>
    <w:rsid w:val="23481FF6"/>
    <w:rsid w:val="23531037"/>
    <w:rsid w:val="235C27E3"/>
    <w:rsid w:val="23666E23"/>
    <w:rsid w:val="23753CAD"/>
    <w:rsid w:val="237807E0"/>
    <w:rsid w:val="2378567A"/>
    <w:rsid w:val="2380095D"/>
    <w:rsid w:val="239C3C09"/>
    <w:rsid w:val="23A4561F"/>
    <w:rsid w:val="23A622C2"/>
    <w:rsid w:val="23AD0E3B"/>
    <w:rsid w:val="23B444CC"/>
    <w:rsid w:val="23BA419A"/>
    <w:rsid w:val="23BB4C73"/>
    <w:rsid w:val="23BD3DA3"/>
    <w:rsid w:val="23C35A84"/>
    <w:rsid w:val="23CB760F"/>
    <w:rsid w:val="23DA1F2D"/>
    <w:rsid w:val="23DB6563"/>
    <w:rsid w:val="23EF1772"/>
    <w:rsid w:val="23EF6234"/>
    <w:rsid w:val="23F474D0"/>
    <w:rsid w:val="2403435D"/>
    <w:rsid w:val="241D0902"/>
    <w:rsid w:val="241E0081"/>
    <w:rsid w:val="242146BC"/>
    <w:rsid w:val="243662BB"/>
    <w:rsid w:val="243D6112"/>
    <w:rsid w:val="244373EF"/>
    <w:rsid w:val="245559EA"/>
    <w:rsid w:val="245D0FF7"/>
    <w:rsid w:val="24601019"/>
    <w:rsid w:val="2465366F"/>
    <w:rsid w:val="24673557"/>
    <w:rsid w:val="246A4C2B"/>
    <w:rsid w:val="24784DD4"/>
    <w:rsid w:val="24787E8C"/>
    <w:rsid w:val="24810848"/>
    <w:rsid w:val="2499741A"/>
    <w:rsid w:val="249C373A"/>
    <w:rsid w:val="24B5591F"/>
    <w:rsid w:val="24CF161A"/>
    <w:rsid w:val="24E414EC"/>
    <w:rsid w:val="24EF0872"/>
    <w:rsid w:val="24F8218A"/>
    <w:rsid w:val="24FC7BC0"/>
    <w:rsid w:val="24FD398E"/>
    <w:rsid w:val="25006BC9"/>
    <w:rsid w:val="250408EE"/>
    <w:rsid w:val="251367B6"/>
    <w:rsid w:val="25214896"/>
    <w:rsid w:val="25217B6B"/>
    <w:rsid w:val="25242E0E"/>
    <w:rsid w:val="25263567"/>
    <w:rsid w:val="252F1810"/>
    <w:rsid w:val="253078ED"/>
    <w:rsid w:val="25327DC2"/>
    <w:rsid w:val="253D7965"/>
    <w:rsid w:val="254253AF"/>
    <w:rsid w:val="25473D81"/>
    <w:rsid w:val="2548022C"/>
    <w:rsid w:val="255B7995"/>
    <w:rsid w:val="25602A2C"/>
    <w:rsid w:val="257F4C7C"/>
    <w:rsid w:val="25814B67"/>
    <w:rsid w:val="258155E1"/>
    <w:rsid w:val="25950E5F"/>
    <w:rsid w:val="25970D0D"/>
    <w:rsid w:val="259C1C2B"/>
    <w:rsid w:val="25AC47E9"/>
    <w:rsid w:val="25AF424B"/>
    <w:rsid w:val="25B7367A"/>
    <w:rsid w:val="25C54D32"/>
    <w:rsid w:val="25D815BB"/>
    <w:rsid w:val="25D85C31"/>
    <w:rsid w:val="25DA0C50"/>
    <w:rsid w:val="25DE28DD"/>
    <w:rsid w:val="25DE4D07"/>
    <w:rsid w:val="25EB39DF"/>
    <w:rsid w:val="25FF604F"/>
    <w:rsid w:val="26014674"/>
    <w:rsid w:val="260B468B"/>
    <w:rsid w:val="260F6632"/>
    <w:rsid w:val="261B6953"/>
    <w:rsid w:val="2634041B"/>
    <w:rsid w:val="263568B4"/>
    <w:rsid w:val="263F6352"/>
    <w:rsid w:val="26470360"/>
    <w:rsid w:val="264D0234"/>
    <w:rsid w:val="26537A77"/>
    <w:rsid w:val="26564C94"/>
    <w:rsid w:val="26586251"/>
    <w:rsid w:val="265C1E56"/>
    <w:rsid w:val="265F38A6"/>
    <w:rsid w:val="2660028A"/>
    <w:rsid w:val="26612ED2"/>
    <w:rsid w:val="26624CE8"/>
    <w:rsid w:val="26642117"/>
    <w:rsid w:val="26732B6C"/>
    <w:rsid w:val="26770B59"/>
    <w:rsid w:val="267E0BCC"/>
    <w:rsid w:val="26867071"/>
    <w:rsid w:val="268D5339"/>
    <w:rsid w:val="268F2B59"/>
    <w:rsid w:val="26982006"/>
    <w:rsid w:val="26A33B41"/>
    <w:rsid w:val="26B05AC0"/>
    <w:rsid w:val="26C94EDE"/>
    <w:rsid w:val="26CE7343"/>
    <w:rsid w:val="26D012A9"/>
    <w:rsid w:val="26D411E0"/>
    <w:rsid w:val="26DC71D8"/>
    <w:rsid w:val="26ED62B6"/>
    <w:rsid w:val="26F603C7"/>
    <w:rsid w:val="26F61449"/>
    <w:rsid w:val="26F957B0"/>
    <w:rsid w:val="270C6DDE"/>
    <w:rsid w:val="27104C66"/>
    <w:rsid w:val="2714329F"/>
    <w:rsid w:val="271C7978"/>
    <w:rsid w:val="271E691C"/>
    <w:rsid w:val="273B2C68"/>
    <w:rsid w:val="273F1D2A"/>
    <w:rsid w:val="275117B8"/>
    <w:rsid w:val="27542350"/>
    <w:rsid w:val="275F37B9"/>
    <w:rsid w:val="27606DE7"/>
    <w:rsid w:val="27613A87"/>
    <w:rsid w:val="27636A6F"/>
    <w:rsid w:val="2766582B"/>
    <w:rsid w:val="27666292"/>
    <w:rsid w:val="276B7437"/>
    <w:rsid w:val="27747B4A"/>
    <w:rsid w:val="2775288E"/>
    <w:rsid w:val="277A57B0"/>
    <w:rsid w:val="27856832"/>
    <w:rsid w:val="278C291A"/>
    <w:rsid w:val="279708B8"/>
    <w:rsid w:val="27AF716B"/>
    <w:rsid w:val="27C973ED"/>
    <w:rsid w:val="27CB4704"/>
    <w:rsid w:val="27D40535"/>
    <w:rsid w:val="27E509A6"/>
    <w:rsid w:val="27E67CA9"/>
    <w:rsid w:val="27EE6601"/>
    <w:rsid w:val="27FC62A1"/>
    <w:rsid w:val="27FD21CC"/>
    <w:rsid w:val="27FF4773"/>
    <w:rsid w:val="28017F9A"/>
    <w:rsid w:val="28046BF7"/>
    <w:rsid w:val="28054079"/>
    <w:rsid w:val="280D6FA9"/>
    <w:rsid w:val="2812527E"/>
    <w:rsid w:val="28215EFF"/>
    <w:rsid w:val="28251094"/>
    <w:rsid w:val="284B6397"/>
    <w:rsid w:val="284D0C43"/>
    <w:rsid w:val="2854335F"/>
    <w:rsid w:val="28552030"/>
    <w:rsid w:val="285C2321"/>
    <w:rsid w:val="286735A1"/>
    <w:rsid w:val="286B2DC0"/>
    <w:rsid w:val="286D19DA"/>
    <w:rsid w:val="286D4288"/>
    <w:rsid w:val="286F64DF"/>
    <w:rsid w:val="287424C9"/>
    <w:rsid w:val="288B7311"/>
    <w:rsid w:val="288E270D"/>
    <w:rsid w:val="288E7A6C"/>
    <w:rsid w:val="289A7E79"/>
    <w:rsid w:val="289C5B82"/>
    <w:rsid w:val="28A31DF6"/>
    <w:rsid w:val="28BA523E"/>
    <w:rsid w:val="28C2418F"/>
    <w:rsid w:val="28CE1FD6"/>
    <w:rsid w:val="28D06350"/>
    <w:rsid w:val="28D158CD"/>
    <w:rsid w:val="28ED735D"/>
    <w:rsid w:val="28EF3A43"/>
    <w:rsid w:val="28F2296D"/>
    <w:rsid w:val="28F31BFA"/>
    <w:rsid w:val="28F92B53"/>
    <w:rsid w:val="28FC0C07"/>
    <w:rsid w:val="28FD3D1A"/>
    <w:rsid w:val="29001D22"/>
    <w:rsid w:val="290732B9"/>
    <w:rsid w:val="293C3F7C"/>
    <w:rsid w:val="2945389F"/>
    <w:rsid w:val="29497A22"/>
    <w:rsid w:val="294A4793"/>
    <w:rsid w:val="29524502"/>
    <w:rsid w:val="295E72F7"/>
    <w:rsid w:val="296B6800"/>
    <w:rsid w:val="296D5171"/>
    <w:rsid w:val="297C50E6"/>
    <w:rsid w:val="29806F99"/>
    <w:rsid w:val="299A5C7C"/>
    <w:rsid w:val="299B5404"/>
    <w:rsid w:val="29A53145"/>
    <w:rsid w:val="29AD28F1"/>
    <w:rsid w:val="29B60806"/>
    <w:rsid w:val="29B91991"/>
    <w:rsid w:val="29BE0B5B"/>
    <w:rsid w:val="29BE7E67"/>
    <w:rsid w:val="29BF4EFD"/>
    <w:rsid w:val="29CA046D"/>
    <w:rsid w:val="29CE4D60"/>
    <w:rsid w:val="29D13A64"/>
    <w:rsid w:val="29D22E7C"/>
    <w:rsid w:val="29E30429"/>
    <w:rsid w:val="29F07525"/>
    <w:rsid w:val="29F929C5"/>
    <w:rsid w:val="29F96D8F"/>
    <w:rsid w:val="2A310317"/>
    <w:rsid w:val="2A37646B"/>
    <w:rsid w:val="2A376E49"/>
    <w:rsid w:val="2A426E28"/>
    <w:rsid w:val="2A553078"/>
    <w:rsid w:val="2A5F467D"/>
    <w:rsid w:val="2A606A66"/>
    <w:rsid w:val="2A64414D"/>
    <w:rsid w:val="2A6C0064"/>
    <w:rsid w:val="2A6C095D"/>
    <w:rsid w:val="2A714782"/>
    <w:rsid w:val="2A73230A"/>
    <w:rsid w:val="2A751214"/>
    <w:rsid w:val="2A796577"/>
    <w:rsid w:val="2A855D6C"/>
    <w:rsid w:val="2A8A10D9"/>
    <w:rsid w:val="2A8A4326"/>
    <w:rsid w:val="2A986378"/>
    <w:rsid w:val="2A9E7C20"/>
    <w:rsid w:val="2AA02C88"/>
    <w:rsid w:val="2AA56923"/>
    <w:rsid w:val="2AA97414"/>
    <w:rsid w:val="2AAE16B7"/>
    <w:rsid w:val="2ABF1AEC"/>
    <w:rsid w:val="2ACA221E"/>
    <w:rsid w:val="2ACC0E38"/>
    <w:rsid w:val="2AD7272B"/>
    <w:rsid w:val="2AF615F0"/>
    <w:rsid w:val="2AF75B8E"/>
    <w:rsid w:val="2AFA2386"/>
    <w:rsid w:val="2AFC5468"/>
    <w:rsid w:val="2B077502"/>
    <w:rsid w:val="2B0D08D4"/>
    <w:rsid w:val="2B13220B"/>
    <w:rsid w:val="2B1D4899"/>
    <w:rsid w:val="2B211E9D"/>
    <w:rsid w:val="2B276272"/>
    <w:rsid w:val="2B294F26"/>
    <w:rsid w:val="2B341C14"/>
    <w:rsid w:val="2B35484F"/>
    <w:rsid w:val="2B5136F3"/>
    <w:rsid w:val="2B535F7F"/>
    <w:rsid w:val="2B5A0C12"/>
    <w:rsid w:val="2B6255E1"/>
    <w:rsid w:val="2B64750F"/>
    <w:rsid w:val="2B6F0A2D"/>
    <w:rsid w:val="2B7476BF"/>
    <w:rsid w:val="2B7B44DF"/>
    <w:rsid w:val="2B7F38B3"/>
    <w:rsid w:val="2B8B3CAA"/>
    <w:rsid w:val="2B9039E4"/>
    <w:rsid w:val="2B9470A1"/>
    <w:rsid w:val="2B9E4BC7"/>
    <w:rsid w:val="2BB55AE8"/>
    <w:rsid w:val="2BB82C87"/>
    <w:rsid w:val="2BBA158D"/>
    <w:rsid w:val="2BC350F0"/>
    <w:rsid w:val="2BCE1D50"/>
    <w:rsid w:val="2BD157D5"/>
    <w:rsid w:val="2BD23DB6"/>
    <w:rsid w:val="2BD24ADC"/>
    <w:rsid w:val="2BD46954"/>
    <w:rsid w:val="2BE17B66"/>
    <w:rsid w:val="2BE71E6B"/>
    <w:rsid w:val="2BE922EF"/>
    <w:rsid w:val="2BEA4A67"/>
    <w:rsid w:val="2BED3B26"/>
    <w:rsid w:val="2BF32E60"/>
    <w:rsid w:val="2BFA1249"/>
    <w:rsid w:val="2C173104"/>
    <w:rsid w:val="2C1854D0"/>
    <w:rsid w:val="2C22256F"/>
    <w:rsid w:val="2C272D22"/>
    <w:rsid w:val="2C2A3A38"/>
    <w:rsid w:val="2C31215A"/>
    <w:rsid w:val="2C355469"/>
    <w:rsid w:val="2C404E47"/>
    <w:rsid w:val="2C46582A"/>
    <w:rsid w:val="2C4C3A9A"/>
    <w:rsid w:val="2C523B14"/>
    <w:rsid w:val="2C5444C5"/>
    <w:rsid w:val="2C5C5B04"/>
    <w:rsid w:val="2C69733B"/>
    <w:rsid w:val="2C6F1247"/>
    <w:rsid w:val="2C89565C"/>
    <w:rsid w:val="2C8A4B6A"/>
    <w:rsid w:val="2C8E6533"/>
    <w:rsid w:val="2C9169E2"/>
    <w:rsid w:val="2C941E23"/>
    <w:rsid w:val="2C9A4BDC"/>
    <w:rsid w:val="2C9C0E63"/>
    <w:rsid w:val="2CA3438C"/>
    <w:rsid w:val="2CA34762"/>
    <w:rsid w:val="2CA40191"/>
    <w:rsid w:val="2CA57873"/>
    <w:rsid w:val="2CA96BC2"/>
    <w:rsid w:val="2CC366BF"/>
    <w:rsid w:val="2CC72F1D"/>
    <w:rsid w:val="2CC80B72"/>
    <w:rsid w:val="2CC9480B"/>
    <w:rsid w:val="2CCC012E"/>
    <w:rsid w:val="2CCE76CF"/>
    <w:rsid w:val="2CD6380C"/>
    <w:rsid w:val="2CD74C0E"/>
    <w:rsid w:val="2CE01F54"/>
    <w:rsid w:val="2CF04890"/>
    <w:rsid w:val="2CFA6B77"/>
    <w:rsid w:val="2CFF2E57"/>
    <w:rsid w:val="2D0206D1"/>
    <w:rsid w:val="2D057BFE"/>
    <w:rsid w:val="2D060C1C"/>
    <w:rsid w:val="2D0D4532"/>
    <w:rsid w:val="2D0E24C0"/>
    <w:rsid w:val="2D107E32"/>
    <w:rsid w:val="2D120E67"/>
    <w:rsid w:val="2D123566"/>
    <w:rsid w:val="2D1E4A10"/>
    <w:rsid w:val="2D2C6907"/>
    <w:rsid w:val="2D456CE4"/>
    <w:rsid w:val="2D503BD6"/>
    <w:rsid w:val="2D5D0012"/>
    <w:rsid w:val="2D607406"/>
    <w:rsid w:val="2D656B15"/>
    <w:rsid w:val="2D74321C"/>
    <w:rsid w:val="2D866ED4"/>
    <w:rsid w:val="2D867C7F"/>
    <w:rsid w:val="2D9A5059"/>
    <w:rsid w:val="2D9D0EA5"/>
    <w:rsid w:val="2DAE050F"/>
    <w:rsid w:val="2DB40C4E"/>
    <w:rsid w:val="2DB53253"/>
    <w:rsid w:val="2DBB0847"/>
    <w:rsid w:val="2DBD46E9"/>
    <w:rsid w:val="2DC01433"/>
    <w:rsid w:val="2DD0444E"/>
    <w:rsid w:val="2DD312F8"/>
    <w:rsid w:val="2DD757F1"/>
    <w:rsid w:val="2DD869EC"/>
    <w:rsid w:val="2DDC79C0"/>
    <w:rsid w:val="2DDF71A6"/>
    <w:rsid w:val="2DDF7DE2"/>
    <w:rsid w:val="2DE00FCE"/>
    <w:rsid w:val="2DE4310D"/>
    <w:rsid w:val="2E122494"/>
    <w:rsid w:val="2E280721"/>
    <w:rsid w:val="2E354350"/>
    <w:rsid w:val="2E470259"/>
    <w:rsid w:val="2E4B03FA"/>
    <w:rsid w:val="2E5111E2"/>
    <w:rsid w:val="2E557F48"/>
    <w:rsid w:val="2E5D61E6"/>
    <w:rsid w:val="2E62666E"/>
    <w:rsid w:val="2E6B1BBB"/>
    <w:rsid w:val="2E6C3192"/>
    <w:rsid w:val="2E7A62F1"/>
    <w:rsid w:val="2E81255A"/>
    <w:rsid w:val="2E965760"/>
    <w:rsid w:val="2E97234C"/>
    <w:rsid w:val="2E9B59D4"/>
    <w:rsid w:val="2EA061AA"/>
    <w:rsid w:val="2EA15E2E"/>
    <w:rsid w:val="2EA33DCC"/>
    <w:rsid w:val="2EA8634F"/>
    <w:rsid w:val="2EAD097E"/>
    <w:rsid w:val="2EB01FD9"/>
    <w:rsid w:val="2EC069C3"/>
    <w:rsid w:val="2EC2020C"/>
    <w:rsid w:val="2ED252CD"/>
    <w:rsid w:val="2ED64DAD"/>
    <w:rsid w:val="2ED74ECB"/>
    <w:rsid w:val="2ED924E4"/>
    <w:rsid w:val="2EDD14F8"/>
    <w:rsid w:val="2EE03322"/>
    <w:rsid w:val="2EE959CE"/>
    <w:rsid w:val="2EF53389"/>
    <w:rsid w:val="2EF864E6"/>
    <w:rsid w:val="2EFB12B0"/>
    <w:rsid w:val="2EFB1C59"/>
    <w:rsid w:val="2F085C5C"/>
    <w:rsid w:val="2F114138"/>
    <w:rsid w:val="2F1E1E03"/>
    <w:rsid w:val="2F2025A6"/>
    <w:rsid w:val="2F284441"/>
    <w:rsid w:val="2F2B6DCB"/>
    <w:rsid w:val="2F3133B9"/>
    <w:rsid w:val="2F330E95"/>
    <w:rsid w:val="2F461255"/>
    <w:rsid w:val="2F4E3130"/>
    <w:rsid w:val="2F616A60"/>
    <w:rsid w:val="2F6722FC"/>
    <w:rsid w:val="2F6B6E3A"/>
    <w:rsid w:val="2F6F0CCA"/>
    <w:rsid w:val="2F784967"/>
    <w:rsid w:val="2F794765"/>
    <w:rsid w:val="2F8563ED"/>
    <w:rsid w:val="2F893641"/>
    <w:rsid w:val="2F8E3567"/>
    <w:rsid w:val="2F8E7969"/>
    <w:rsid w:val="2F9110E5"/>
    <w:rsid w:val="2F997434"/>
    <w:rsid w:val="2FA803D2"/>
    <w:rsid w:val="2FAA5A99"/>
    <w:rsid w:val="2FAB7738"/>
    <w:rsid w:val="2FBA0FF5"/>
    <w:rsid w:val="2FBA2271"/>
    <w:rsid w:val="2FCC3D1D"/>
    <w:rsid w:val="2FD062E8"/>
    <w:rsid w:val="2FD375BB"/>
    <w:rsid w:val="2FD872B4"/>
    <w:rsid w:val="2FD87FB3"/>
    <w:rsid w:val="2FE92A15"/>
    <w:rsid w:val="2FEC508E"/>
    <w:rsid w:val="2FEE74D8"/>
    <w:rsid w:val="2FF53395"/>
    <w:rsid w:val="2FFA3573"/>
    <w:rsid w:val="30016F2A"/>
    <w:rsid w:val="30100668"/>
    <w:rsid w:val="301318F2"/>
    <w:rsid w:val="3017112E"/>
    <w:rsid w:val="301D27E1"/>
    <w:rsid w:val="301F3BA6"/>
    <w:rsid w:val="30216943"/>
    <w:rsid w:val="3033369A"/>
    <w:rsid w:val="30354429"/>
    <w:rsid w:val="303A7488"/>
    <w:rsid w:val="304228F3"/>
    <w:rsid w:val="304D7E67"/>
    <w:rsid w:val="304F30A0"/>
    <w:rsid w:val="30677CF0"/>
    <w:rsid w:val="30890E1B"/>
    <w:rsid w:val="3092211A"/>
    <w:rsid w:val="30923264"/>
    <w:rsid w:val="309A454B"/>
    <w:rsid w:val="30A048C4"/>
    <w:rsid w:val="30A21E61"/>
    <w:rsid w:val="30B86715"/>
    <w:rsid w:val="30BA7CFF"/>
    <w:rsid w:val="30BF3CB0"/>
    <w:rsid w:val="30BF728A"/>
    <w:rsid w:val="30C154B1"/>
    <w:rsid w:val="30C43E47"/>
    <w:rsid w:val="30CB3066"/>
    <w:rsid w:val="30D8679A"/>
    <w:rsid w:val="30DD12CC"/>
    <w:rsid w:val="30E1519F"/>
    <w:rsid w:val="30E87B9C"/>
    <w:rsid w:val="30F92367"/>
    <w:rsid w:val="310B68E9"/>
    <w:rsid w:val="311A3F64"/>
    <w:rsid w:val="31257455"/>
    <w:rsid w:val="312922CD"/>
    <w:rsid w:val="313F5AE7"/>
    <w:rsid w:val="31494925"/>
    <w:rsid w:val="31587351"/>
    <w:rsid w:val="31622EA4"/>
    <w:rsid w:val="317D42DE"/>
    <w:rsid w:val="317E1D7A"/>
    <w:rsid w:val="317F0335"/>
    <w:rsid w:val="31851BDE"/>
    <w:rsid w:val="31883954"/>
    <w:rsid w:val="31952C8D"/>
    <w:rsid w:val="319531F8"/>
    <w:rsid w:val="319C7598"/>
    <w:rsid w:val="31A242AC"/>
    <w:rsid w:val="31A64532"/>
    <w:rsid w:val="31A84D53"/>
    <w:rsid w:val="31B25447"/>
    <w:rsid w:val="31CB5EEC"/>
    <w:rsid w:val="31CE11BA"/>
    <w:rsid w:val="31D964E3"/>
    <w:rsid w:val="31DF085A"/>
    <w:rsid w:val="31ED30CC"/>
    <w:rsid w:val="31FA634A"/>
    <w:rsid w:val="31FA73C3"/>
    <w:rsid w:val="32022702"/>
    <w:rsid w:val="32053D39"/>
    <w:rsid w:val="32247A07"/>
    <w:rsid w:val="32283FCD"/>
    <w:rsid w:val="322D35D2"/>
    <w:rsid w:val="322F7522"/>
    <w:rsid w:val="323733C7"/>
    <w:rsid w:val="3238006C"/>
    <w:rsid w:val="324535C8"/>
    <w:rsid w:val="324C632F"/>
    <w:rsid w:val="324F1008"/>
    <w:rsid w:val="32506127"/>
    <w:rsid w:val="32567C10"/>
    <w:rsid w:val="325A6C5D"/>
    <w:rsid w:val="325C6406"/>
    <w:rsid w:val="325D5C77"/>
    <w:rsid w:val="325F2581"/>
    <w:rsid w:val="326304BF"/>
    <w:rsid w:val="32682BEC"/>
    <w:rsid w:val="327959D9"/>
    <w:rsid w:val="328264AD"/>
    <w:rsid w:val="329246E5"/>
    <w:rsid w:val="32A226A2"/>
    <w:rsid w:val="32A93755"/>
    <w:rsid w:val="32B06C12"/>
    <w:rsid w:val="32C733F5"/>
    <w:rsid w:val="32CE22FE"/>
    <w:rsid w:val="32D05F8F"/>
    <w:rsid w:val="32D91D1B"/>
    <w:rsid w:val="32DD0728"/>
    <w:rsid w:val="32DE025A"/>
    <w:rsid w:val="32F04B12"/>
    <w:rsid w:val="32F317C5"/>
    <w:rsid w:val="330159AD"/>
    <w:rsid w:val="330C735A"/>
    <w:rsid w:val="33193BB7"/>
    <w:rsid w:val="331A4663"/>
    <w:rsid w:val="331E783D"/>
    <w:rsid w:val="33261BEF"/>
    <w:rsid w:val="33277A7B"/>
    <w:rsid w:val="332E5FCD"/>
    <w:rsid w:val="333121B8"/>
    <w:rsid w:val="33350A8D"/>
    <w:rsid w:val="33411D46"/>
    <w:rsid w:val="3342021D"/>
    <w:rsid w:val="3344460A"/>
    <w:rsid w:val="33540BD5"/>
    <w:rsid w:val="33685473"/>
    <w:rsid w:val="33806215"/>
    <w:rsid w:val="33874F4F"/>
    <w:rsid w:val="33890089"/>
    <w:rsid w:val="338B6BD7"/>
    <w:rsid w:val="339504E1"/>
    <w:rsid w:val="33961C62"/>
    <w:rsid w:val="3397670A"/>
    <w:rsid w:val="33987B65"/>
    <w:rsid w:val="339D62F6"/>
    <w:rsid w:val="33B10EC6"/>
    <w:rsid w:val="33BB0F9E"/>
    <w:rsid w:val="33BE2259"/>
    <w:rsid w:val="33BF377A"/>
    <w:rsid w:val="33C81FD1"/>
    <w:rsid w:val="33CB0031"/>
    <w:rsid w:val="33CD7538"/>
    <w:rsid w:val="33D303D3"/>
    <w:rsid w:val="33D30FA6"/>
    <w:rsid w:val="33E03A5E"/>
    <w:rsid w:val="33E82A2E"/>
    <w:rsid w:val="33E8764E"/>
    <w:rsid w:val="33E9317A"/>
    <w:rsid w:val="33EE3295"/>
    <w:rsid w:val="33F1331C"/>
    <w:rsid w:val="33FD3BE8"/>
    <w:rsid w:val="3406338B"/>
    <w:rsid w:val="340C7B66"/>
    <w:rsid w:val="340D630E"/>
    <w:rsid w:val="340E14DB"/>
    <w:rsid w:val="341C046A"/>
    <w:rsid w:val="342114F3"/>
    <w:rsid w:val="342C1B39"/>
    <w:rsid w:val="342D553A"/>
    <w:rsid w:val="342F7D23"/>
    <w:rsid w:val="34326E32"/>
    <w:rsid w:val="343771F1"/>
    <w:rsid w:val="343F3C34"/>
    <w:rsid w:val="34530DE8"/>
    <w:rsid w:val="34537A9D"/>
    <w:rsid w:val="34571497"/>
    <w:rsid w:val="345930E1"/>
    <w:rsid w:val="34614E6B"/>
    <w:rsid w:val="346925C7"/>
    <w:rsid w:val="34742044"/>
    <w:rsid w:val="34842B0C"/>
    <w:rsid w:val="34885CC1"/>
    <w:rsid w:val="34A80FB2"/>
    <w:rsid w:val="34BC441D"/>
    <w:rsid w:val="34BD4ABE"/>
    <w:rsid w:val="34C971DD"/>
    <w:rsid w:val="34CB03E4"/>
    <w:rsid w:val="34E7390B"/>
    <w:rsid w:val="34EB33EA"/>
    <w:rsid w:val="34EE5E26"/>
    <w:rsid w:val="34F0605B"/>
    <w:rsid w:val="34F31DFF"/>
    <w:rsid w:val="34FF0291"/>
    <w:rsid w:val="350205F1"/>
    <w:rsid w:val="35054C70"/>
    <w:rsid w:val="35086452"/>
    <w:rsid w:val="35143D36"/>
    <w:rsid w:val="35171ADF"/>
    <w:rsid w:val="351A23A9"/>
    <w:rsid w:val="352557EF"/>
    <w:rsid w:val="352D7564"/>
    <w:rsid w:val="352F6A77"/>
    <w:rsid w:val="35325BEA"/>
    <w:rsid w:val="35356D12"/>
    <w:rsid w:val="354155A3"/>
    <w:rsid w:val="3547155A"/>
    <w:rsid w:val="354C4390"/>
    <w:rsid w:val="354C55F0"/>
    <w:rsid w:val="35553B70"/>
    <w:rsid w:val="35686CAA"/>
    <w:rsid w:val="356E4764"/>
    <w:rsid w:val="358422E0"/>
    <w:rsid w:val="358A4A9D"/>
    <w:rsid w:val="35921D8A"/>
    <w:rsid w:val="35943B35"/>
    <w:rsid w:val="35A547C8"/>
    <w:rsid w:val="35A81A3A"/>
    <w:rsid w:val="35C0297E"/>
    <w:rsid w:val="35C06F91"/>
    <w:rsid w:val="35C60F2E"/>
    <w:rsid w:val="35C90DF8"/>
    <w:rsid w:val="35CB2B58"/>
    <w:rsid w:val="35CB4AE8"/>
    <w:rsid w:val="35D36B2C"/>
    <w:rsid w:val="35D75192"/>
    <w:rsid w:val="35D94DDA"/>
    <w:rsid w:val="35E7048D"/>
    <w:rsid w:val="35E81024"/>
    <w:rsid w:val="35EC7036"/>
    <w:rsid w:val="35F3481E"/>
    <w:rsid w:val="35FB22D3"/>
    <w:rsid w:val="360024FD"/>
    <w:rsid w:val="360C593F"/>
    <w:rsid w:val="360C6875"/>
    <w:rsid w:val="360E525F"/>
    <w:rsid w:val="36137DA6"/>
    <w:rsid w:val="361A5082"/>
    <w:rsid w:val="362A0901"/>
    <w:rsid w:val="36503822"/>
    <w:rsid w:val="36543E61"/>
    <w:rsid w:val="365E47B1"/>
    <w:rsid w:val="365E7D2B"/>
    <w:rsid w:val="36652A71"/>
    <w:rsid w:val="366D5544"/>
    <w:rsid w:val="36715B36"/>
    <w:rsid w:val="367C6DAE"/>
    <w:rsid w:val="367C6E74"/>
    <w:rsid w:val="36830E6B"/>
    <w:rsid w:val="368843BC"/>
    <w:rsid w:val="368E1981"/>
    <w:rsid w:val="36925E35"/>
    <w:rsid w:val="36A50846"/>
    <w:rsid w:val="36A634DF"/>
    <w:rsid w:val="36AB099B"/>
    <w:rsid w:val="36B76AF2"/>
    <w:rsid w:val="36C47600"/>
    <w:rsid w:val="36D00158"/>
    <w:rsid w:val="36D167F1"/>
    <w:rsid w:val="36D51729"/>
    <w:rsid w:val="36E5278B"/>
    <w:rsid w:val="36EC4849"/>
    <w:rsid w:val="36ED3D3A"/>
    <w:rsid w:val="36F82186"/>
    <w:rsid w:val="36FF2A73"/>
    <w:rsid w:val="370A2680"/>
    <w:rsid w:val="370B2E3B"/>
    <w:rsid w:val="371D1241"/>
    <w:rsid w:val="37261AB4"/>
    <w:rsid w:val="372E73ED"/>
    <w:rsid w:val="37301348"/>
    <w:rsid w:val="3730394D"/>
    <w:rsid w:val="374122FD"/>
    <w:rsid w:val="374D2ECD"/>
    <w:rsid w:val="37527695"/>
    <w:rsid w:val="375B6DF0"/>
    <w:rsid w:val="37711F07"/>
    <w:rsid w:val="37717C72"/>
    <w:rsid w:val="37767379"/>
    <w:rsid w:val="377D723B"/>
    <w:rsid w:val="3785302C"/>
    <w:rsid w:val="37876478"/>
    <w:rsid w:val="379773C2"/>
    <w:rsid w:val="379F08A0"/>
    <w:rsid w:val="37A5383C"/>
    <w:rsid w:val="37A979DB"/>
    <w:rsid w:val="37BF6E81"/>
    <w:rsid w:val="37C040C9"/>
    <w:rsid w:val="37C73BA1"/>
    <w:rsid w:val="37C80C7B"/>
    <w:rsid w:val="37DD1EBE"/>
    <w:rsid w:val="37EB02A0"/>
    <w:rsid w:val="37F053C6"/>
    <w:rsid w:val="38010256"/>
    <w:rsid w:val="380455CB"/>
    <w:rsid w:val="380C385C"/>
    <w:rsid w:val="380C5F01"/>
    <w:rsid w:val="380C6047"/>
    <w:rsid w:val="38101A93"/>
    <w:rsid w:val="38165DE2"/>
    <w:rsid w:val="381D5519"/>
    <w:rsid w:val="381D72E9"/>
    <w:rsid w:val="382172B4"/>
    <w:rsid w:val="382460A3"/>
    <w:rsid w:val="382B7751"/>
    <w:rsid w:val="382F7FF6"/>
    <w:rsid w:val="38336714"/>
    <w:rsid w:val="383B21D4"/>
    <w:rsid w:val="3859578F"/>
    <w:rsid w:val="38670342"/>
    <w:rsid w:val="3869697E"/>
    <w:rsid w:val="386D3472"/>
    <w:rsid w:val="388219CD"/>
    <w:rsid w:val="38941BC7"/>
    <w:rsid w:val="38970FCD"/>
    <w:rsid w:val="389848A6"/>
    <w:rsid w:val="38AF3C21"/>
    <w:rsid w:val="38B37DD7"/>
    <w:rsid w:val="38BA1D7A"/>
    <w:rsid w:val="38C6163B"/>
    <w:rsid w:val="38C63B43"/>
    <w:rsid w:val="38CE2E4B"/>
    <w:rsid w:val="38D809BA"/>
    <w:rsid w:val="38DA7F57"/>
    <w:rsid w:val="38E1200D"/>
    <w:rsid w:val="38EB6585"/>
    <w:rsid w:val="38F63124"/>
    <w:rsid w:val="38F66F50"/>
    <w:rsid w:val="38FE7C3A"/>
    <w:rsid w:val="39146AFE"/>
    <w:rsid w:val="391B563A"/>
    <w:rsid w:val="39306252"/>
    <w:rsid w:val="39340B7C"/>
    <w:rsid w:val="39375C9B"/>
    <w:rsid w:val="39414E64"/>
    <w:rsid w:val="3942245F"/>
    <w:rsid w:val="394D0E74"/>
    <w:rsid w:val="394F34ED"/>
    <w:rsid w:val="39552ABD"/>
    <w:rsid w:val="3955524F"/>
    <w:rsid w:val="397407EA"/>
    <w:rsid w:val="397D2716"/>
    <w:rsid w:val="39814CC0"/>
    <w:rsid w:val="398F528D"/>
    <w:rsid w:val="398F5576"/>
    <w:rsid w:val="399D3596"/>
    <w:rsid w:val="39AB0DCC"/>
    <w:rsid w:val="39AC7A48"/>
    <w:rsid w:val="39B11FEB"/>
    <w:rsid w:val="39BE4D65"/>
    <w:rsid w:val="39BE75BF"/>
    <w:rsid w:val="39CB075F"/>
    <w:rsid w:val="39CD5B63"/>
    <w:rsid w:val="39D02450"/>
    <w:rsid w:val="39D06BB0"/>
    <w:rsid w:val="39D760BA"/>
    <w:rsid w:val="39E345FF"/>
    <w:rsid w:val="39E44E4F"/>
    <w:rsid w:val="39E471A4"/>
    <w:rsid w:val="39EF64C7"/>
    <w:rsid w:val="39F14966"/>
    <w:rsid w:val="3A011637"/>
    <w:rsid w:val="3A0A5B3A"/>
    <w:rsid w:val="3A0B590F"/>
    <w:rsid w:val="3A1564F8"/>
    <w:rsid w:val="3A1A255D"/>
    <w:rsid w:val="3A1B153A"/>
    <w:rsid w:val="3A290CD3"/>
    <w:rsid w:val="3A2C7242"/>
    <w:rsid w:val="3A317E88"/>
    <w:rsid w:val="3A350E98"/>
    <w:rsid w:val="3A3C09F9"/>
    <w:rsid w:val="3A4018D1"/>
    <w:rsid w:val="3A440930"/>
    <w:rsid w:val="3A490263"/>
    <w:rsid w:val="3A581532"/>
    <w:rsid w:val="3A5C1450"/>
    <w:rsid w:val="3A646D23"/>
    <w:rsid w:val="3A67018F"/>
    <w:rsid w:val="3A6C44F5"/>
    <w:rsid w:val="3A723CD4"/>
    <w:rsid w:val="3A82616D"/>
    <w:rsid w:val="3A8C3379"/>
    <w:rsid w:val="3A8C6286"/>
    <w:rsid w:val="3A9828CD"/>
    <w:rsid w:val="3A996F7B"/>
    <w:rsid w:val="3AB94AD4"/>
    <w:rsid w:val="3AC072D3"/>
    <w:rsid w:val="3AC6129C"/>
    <w:rsid w:val="3ACB4ED7"/>
    <w:rsid w:val="3AD739E1"/>
    <w:rsid w:val="3ADA013C"/>
    <w:rsid w:val="3ADA13A7"/>
    <w:rsid w:val="3ADF4F13"/>
    <w:rsid w:val="3AE15EF9"/>
    <w:rsid w:val="3AE90830"/>
    <w:rsid w:val="3AEC460A"/>
    <w:rsid w:val="3AEF3C6F"/>
    <w:rsid w:val="3AFD69B9"/>
    <w:rsid w:val="3B022076"/>
    <w:rsid w:val="3B03111A"/>
    <w:rsid w:val="3B0F0920"/>
    <w:rsid w:val="3B126471"/>
    <w:rsid w:val="3B1A58F9"/>
    <w:rsid w:val="3B233AE1"/>
    <w:rsid w:val="3B2F1B57"/>
    <w:rsid w:val="3B306E02"/>
    <w:rsid w:val="3B4433CE"/>
    <w:rsid w:val="3B4C2DBB"/>
    <w:rsid w:val="3B5906DC"/>
    <w:rsid w:val="3B59076A"/>
    <w:rsid w:val="3B5D250A"/>
    <w:rsid w:val="3B6300F2"/>
    <w:rsid w:val="3B705193"/>
    <w:rsid w:val="3B745C09"/>
    <w:rsid w:val="3B8908C8"/>
    <w:rsid w:val="3B91264C"/>
    <w:rsid w:val="3BA0770B"/>
    <w:rsid w:val="3BA2288D"/>
    <w:rsid w:val="3BA314DB"/>
    <w:rsid w:val="3BA91658"/>
    <w:rsid w:val="3BAF042B"/>
    <w:rsid w:val="3BB25F1B"/>
    <w:rsid w:val="3BB60CC2"/>
    <w:rsid w:val="3BBC135A"/>
    <w:rsid w:val="3BBC57B7"/>
    <w:rsid w:val="3BCC0C08"/>
    <w:rsid w:val="3BE47214"/>
    <w:rsid w:val="3BEF162F"/>
    <w:rsid w:val="3BF32F0E"/>
    <w:rsid w:val="3BFE45BF"/>
    <w:rsid w:val="3C013441"/>
    <w:rsid w:val="3C08533E"/>
    <w:rsid w:val="3C0A56E4"/>
    <w:rsid w:val="3C0A692E"/>
    <w:rsid w:val="3C146DB8"/>
    <w:rsid w:val="3C1C6159"/>
    <w:rsid w:val="3C216F78"/>
    <w:rsid w:val="3C26278A"/>
    <w:rsid w:val="3C2B6FE2"/>
    <w:rsid w:val="3C3D5AA8"/>
    <w:rsid w:val="3C490493"/>
    <w:rsid w:val="3C4D7863"/>
    <w:rsid w:val="3C507967"/>
    <w:rsid w:val="3C584D62"/>
    <w:rsid w:val="3C584FF7"/>
    <w:rsid w:val="3C5C549F"/>
    <w:rsid w:val="3C62681F"/>
    <w:rsid w:val="3C6E6407"/>
    <w:rsid w:val="3C7C5566"/>
    <w:rsid w:val="3C7C574E"/>
    <w:rsid w:val="3C8137A6"/>
    <w:rsid w:val="3C873E2F"/>
    <w:rsid w:val="3C8769B7"/>
    <w:rsid w:val="3CA07D6F"/>
    <w:rsid w:val="3CAB593B"/>
    <w:rsid w:val="3CB110E3"/>
    <w:rsid w:val="3CC41426"/>
    <w:rsid w:val="3CCA11EB"/>
    <w:rsid w:val="3CD02855"/>
    <w:rsid w:val="3CE72A41"/>
    <w:rsid w:val="3CEA3AEA"/>
    <w:rsid w:val="3CEC1A65"/>
    <w:rsid w:val="3CEC2846"/>
    <w:rsid w:val="3CFE7A69"/>
    <w:rsid w:val="3D015E09"/>
    <w:rsid w:val="3D0566CF"/>
    <w:rsid w:val="3D0B05F5"/>
    <w:rsid w:val="3D1E32F2"/>
    <w:rsid w:val="3D200BAC"/>
    <w:rsid w:val="3D235A2D"/>
    <w:rsid w:val="3D257B25"/>
    <w:rsid w:val="3D3A47B3"/>
    <w:rsid w:val="3D573961"/>
    <w:rsid w:val="3D6C1A9D"/>
    <w:rsid w:val="3D703BD9"/>
    <w:rsid w:val="3D715993"/>
    <w:rsid w:val="3D756098"/>
    <w:rsid w:val="3D834F74"/>
    <w:rsid w:val="3D8E5C69"/>
    <w:rsid w:val="3D8F6377"/>
    <w:rsid w:val="3D985F25"/>
    <w:rsid w:val="3D9917DE"/>
    <w:rsid w:val="3D9970A4"/>
    <w:rsid w:val="3DA550D1"/>
    <w:rsid w:val="3DB22A62"/>
    <w:rsid w:val="3DB9080F"/>
    <w:rsid w:val="3DBD48A4"/>
    <w:rsid w:val="3DBE6C45"/>
    <w:rsid w:val="3DC35AD3"/>
    <w:rsid w:val="3DC43789"/>
    <w:rsid w:val="3DCE62E2"/>
    <w:rsid w:val="3DD3614D"/>
    <w:rsid w:val="3DD73C07"/>
    <w:rsid w:val="3DE31833"/>
    <w:rsid w:val="3DE41D57"/>
    <w:rsid w:val="3DE44529"/>
    <w:rsid w:val="3DF2450D"/>
    <w:rsid w:val="3E011102"/>
    <w:rsid w:val="3E07077A"/>
    <w:rsid w:val="3E092EFC"/>
    <w:rsid w:val="3E0C23BF"/>
    <w:rsid w:val="3E11508C"/>
    <w:rsid w:val="3E16591E"/>
    <w:rsid w:val="3E186450"/>
    <w:rsid w:val="3E1A0C33"/>
    <w:rsid w:val="3E1C4F87"/>
    <w:rsid w:val="3E286AE9"/>
    <w:rsid w:val="3E294FBE"/>
    <w:rsid w:val="3E351167"/>
    <w:rsid w:val="3E3D2379"/>
    <w:rsid w:val="3E4E2936"/>
    <w:rsid w:val="3E562428"/>
    <w:rsid w:val="3E58436A"/>
    <w:rsid w:val="3E8D4DFB"/>
    <w:rsid w:val="3E8E6643"/>
    <w:rsid w:val="3E9017F9"/>
    <w:rsid w:val="3E907DE2"/>
    <w:rsid w:val="3E937CFE"/>
    <w:rsid w:val="3E96419E"/>
    <w:rsid w:val="3E9C2B0F"/>
    <w:rsid w:val="3EA51148"/>
    <w:rsid w:val="3EAE562D"/>
    <w:rsid w:val="3EB80552"/>
    <w:rsid w:val="3EC664BC"/>
    <w:rsid w:val="3ED2054F"/>
    <w:rsid w:val="3ED31F96"/>
    <w:rsid w:val="3EF46ECA"/>
    <w:rsid w:val="3F097626"/>
    <w:rsid w:val="3F11528F"/>
    <w:rsid w:val="3F1E3D1F"/>
    <w:rsid w:val="3F2017FD"/>
    <w:rsid w:val="3F2578D1"/>
    <w:rsid w:val="3F2A4CB5"/>
    <w:rsid w:val="3F2A7A9D"/>
    <w:rsid w:val="3F2F3675"/>
    <w:rsid w:val="3F380BA3"/>
    <w:rsid w:val="3F387304"/>
    <w:rsid w:val="3F393361"/>
    <w:rsid w:val="3F416B4C"/>
    <w:rsid w:val="3F4C5C0B"/>
    <w:rsid w:val="3F5B6E3D"/>
    <w:rsid w:val="3F6038A3"/>
    <w:rsid w:val="3F6E4418"/>
    <w:rsid w:val="3F73470E"/>
    <w:rsid w:val="3F7362C2"/>
    <w:rsid w:val="3F7635DF"/>
    <w:rsid w:val="3F7C0AD8"/>
    <w:rsid w:val="3F7F7A2A"/>
    <w:rsid w:val="3F8411F2"/>
    <w:rsid w:val="3F8D001F"/>
    <w:rsid w:val="3F9B0796"/>
    <w:rsid w:val="3FB01931"/>
    <w:rsid w:val="3FBA047B"/>
    <w:rsid w:val="3FC321DD"/>
    <w:rsid w:val="3FCD2570"/>
    <w:rsid w:val="3FDA4C1F"/>
    <w:rsid w:val="3FDE6E97"/>
    <w:rsid w:val="3FE31C13"/>
    <w:rsid w:val="3FEA7FFA"/>
    <w:rsid w:val="3FF938A3"/>
    <w:rsid w:val="3FFD7EEC"/>
    <w:rsid w:val="401A02FB"/>
    <w:rsid w:val="40215BDB"/>
    <w:rsid w:val="40285653"/>
    <w:rsid w:val="40313F52"/>
    <w:rsid w:val="40333E7A"/>
    <w:rsid w:val="403617C9"/>
    <w:rsid w:val="40382F5D"/>
    <w:rsid w:val="403B637F"/>
    <w:rsid w:val="40487784"/>
    <w:rsid w:val="4052629E"/>
    <w:rsid w:val="405435CF"/>
    <w:rsid w:val="405B7C69"/>
    <w:rsid w:val="406B3A34"/>
    <w:rsid w:val="4073763D"/>
    <w:rsid w:val="40864D78"/>
    <w:rsid w:val="4091093C"/>
    <w:rsid w:val="409B3BAF"/>
    <w:rsid w:val="409E59A3"/>
    <w:rsid w:val="40A254BA"/>
    <w:rsid w:val="40A7615B"/>
    <w:rsid w:val="40AF24AF"/>
    <w:rsid w:val="40B61AE3"/>
    <w:rsid w:val="40C41FF4"/>
    <w:rsid w:val="40C6696D"/>
    <w:rsid w:val="40C7329D"/>
    <w:rsid w:val="40D2340F"/>
    <w:rsid w:val="40D3065C"/>
    <w:rsid w:val="40D70D06"/>
    <w:rsid w:val="40DE2C57"/>
    <w:rsid w:val="40E2576F"/>
    <w:rsid w:val="40E40181"/>
    <w:rsid w:val="40EB0ED7"/>
    <w:rsid w:val="40EE766E"/>
    <w:rsid w:val="40EF6084"/>
    <w:rsid w:val="40F170F8"/>
    <w:rsid w:val="40FF4EA6"/>
    <w:rsid w:val="41087481"/>
    <w:rsid w:val="410A49C5"/>
    <w:rsid w:val="411051EA"/>
    <w:rsid w:val="41131894"/>
    <w:rsid w:val="412645DA"/>
    <w:rsid w:val="412B7B72"/>
    <w:rsid w:val="412C7AB0"/>
    <w:rsid w:val="413062E5"/>
    <w:rsid w:val="413131E0"/>
    <w:rsid w:val="413C2CD3"/>
    <w:rsid w:val="413C6BB2"/>
    <w:rsid w:val="413E6F14"/>
    <w:rsid w:val="414447AE"/>
    <w:rsid w:val="414671AC"/>
    <w:rsid w:val="41530602"/>
    <w:rsid w:val="415D1887"/>
    <w:rsid w:val="415E4983"/>
    <w:rsid w:val="417503EB"/>
    <w:rsid w:val="417752D1"/>
    <w:rsid w:val="417E0431"/>
    <w:rsid w:val="41847587"/>
    <w:rsid w:val="419114F0"/>
    <w:rsid w:val="4191163F"/>
    <w:rsid w:val="41922C42"/>
    <w:rsid w:val="419D6243"/>
    <w:rsid w:val="41A23CA4"/>
    <w:rsid w:val="41B0634B"/>
    <w:rsid w:val="41BD144D"/>
    <w:rsid w:val="41C12812"/>
    <w:rsid w:val="41D8567C"/>
    <w:rsid w:val="41ED3158"/>
    <w:rsid w:val="41F53A11"/>
    <w:rsid w:val="41F67BBA"/>
    <w:rsid w:val="41FC491D"/>
    <w:rsid w:val="420A60AA"/>
    <w:rsid w:val="420D72EF"/>
    <w:rsid w:val="421B60B8"/>
    <w:rsid w:val="421B7D78"/>
    <w:rsid w:val="42207D39"/>
    <w:rsid w:val="422642A5"/>
    <w:rsid w:val="42282EB7"/>
    <w:rsid w:val="42284C99"/>
    <w:rsid w:val="42422540"/>
    <w:rsid w:val="4243363D"/>
    <w:rsid w:val="42531763"/>
    <w:rsid w:val="425557F2"/>
    <w:rsid w:val="425A3DCD"/>
    <w:rsid w:val="425F74D5"/>
    <w:rsid w:val="426775A4"/>
    <w:rsid w:val="42897F78"/>
    <w:rsid w:val="428C17F9"/>
    <w:rsid w:val="429A12BD"/>
    <w:rsid w:val="429C6979"/>
    <w:rsid w:val="429E00EF"/>
    <w:rsid w:val="42A51B2B"/>
    <w:rsid w:val="42A96481"/>
    <w:rsid w:val="42AD2ECB"/>
    <w:rsid w:val="42B32342"/>
    <w:rsid w:val="42B56E11"/>
    <w:rsid w:val="42C630E1"/>
    <w:rsid w:val="42CD2B99"/>
    <w:rsid w:val="42D4593D"/>
    <w:rsid w:val="42E83398"/>
    <w:rsid w:val="42E96835"/>
    <w:rsid w:val="42EA0FD2"/>
    <w:rsid w:val="42F66955"/>
    <w:rsid w:val="42FD72F8"/>
    <w:rsid w:val="43036580"/>
    <w:rsid w:val="430B04D1"/>
    <w:rsid w:val="4316652F"/>
    <w:rsid w:val="43230650"/>
    <w:rsid w:val="43240EE7"/>
    <w:rsid w:val="43365C45"/>
    <w:rsid w:val="435A0D44"/>
    <w:rsid w:val="435B4496"/>
    <w:rsid w:val="43656BAC"/>
    <w:rsid w:val="436A57EF"/>
    <w:rsid w:val="436E5B79"/>
    <w:rsid w:val="437D757B"/>
    <w:rsid w:val="438B2FDA"/>
    <w:rsid w:val="438E7EBE"/>
    <w:rsid w:val="4392512C"/>
    <w:rsid w:val="43A033AA"/>
    <w:rsid w:val="43A25462"/>
    <w:rsid w:val="43A36DFC"/>
    <w:rsid w:val="43AD255E"/>
    <w:rsid w:val="43AE4CBF"/>
    <w:rsid w:val="43B01893"/>
    <w:rsid w:val="43C51765"/>
    <w:rsid w:val="43CB400D"/>
    <w:rsid w:val="43D25E06"/>
    <w:rsid w:val="43DB7C21"/>
    <w:rsid w:val="43DE6A2A"/>
    <w:rsid w:val="43E70EFD"/>
    <w:rsid w:val="43EB6B1C"/>
    <w:rsid w:val="43ED3F45"/>
    <w:rsid w:val="43F675A1"/>
    <w:rsid w:val="440154C6"/>
    <w:rsid w:val="440C4CCA"/>
    <w:rsid w:val="44196A5D"/>
    <w:rsid w:val="44222369"/>
    <w:rsid w:val="44513411"/>
    <w:rsid w:val="445A74D8"/>
    <w:rsid w:val="4461645A"/>
    <w:rsid w:val="44706E83"/>
    <w:rsid w:val="447D1720"/>
    <w:rsid w:val="447F07AF"/>
    <w:rsid w:val="44837B12"/>
    <w:rsid w:val="448674F1"/>
    <w:rsid w:val="44887B94"/>
    <w:rsid w:val="448B0D6C"/>
    <w:rsid w:val="449512AB"/>
    <w:rsid w:val="44AE5D4B"/>
    <w:rsid w:val="44BA031D"/>
    <w:rsid w:val="44BF2D0C"/>
    <w:rsid w:val="44C03A36"/>
    <w:rsid w:val="44C1159C"/>
    <w:rsid w:val="44C451D7"/>
    <w:rsid w:val="44D17403"/>
    <w:rsid w:val="44D2735F"/>
    <w:rsid w:val="44DD3971"/>
    <w:rsid w:val="44E83A3D"/>
    <w:rsid w:val="44E8783E"/>
    <w:rsid w:val="450416D8"/>
    <w:rsid w:val="451A7BB4"/>
    <w:rsid w:val="45217BF9"/>
    <w:rsid w:val="45290280"/>
    <w:rsid w:val="453167C4"/>
    <w:rsid w:val="454D46F4"/>
    <w:rsid w:val="45625909"/>
    <w:rsid w:val="457460BC"/>
    <w:rsid w:val="45757AC6"/>
    <w:rsid w:val="458A4B56"/>
    <w:rsid w:val="45925F19"/>
    <w:rsid w:val="45970A7B"/>
    <w:rsid w:val="45997BE6"/>
    <w:rsid w:val="45A22427"/>
    <w:rsid w:val="45AB3B68"/>
    <w:rsid w:val="45B53F60"/>
    <w:rsid w:val="45BA1E06"/>
    <w:rsid w:val="45D93A5C"/>
    <w:rsid w:val="45EC0DB7"/>
    <w:rsid w:val="45ED00B3"/>
    <w:rsid w:val="45F61B50"/>
    <w:rsid w:val="45F66941"/>
    <w:rsid w:val="45FA5D7C"/>
    <w:rsid w:val="460377AB"/>
    <w:rsid w:val="46057153"/>
    <w:rsid w:val="460B2939"/>
    <w:rsid w:val="460B4B49"/>
    <w:rsid w:val="460C36B2"/>
    <w:rsid w:val="46103336"/>
    <w:rsid w:val="461C1F52"/>
    <w:rsid w:val="46222E39"/>
    <w:rsid w:val="46224018"/>
    <w:rsid w:val="462A68A9"/>
    <w:rsid w:val="462D7B50"/>
    <w:rsid w:val="46352C8E"/>
    <w:rsid w:val="46490BEB"/>
    <w:rsid w:val="466C11E8"/>
    <w:rsid w:val="46720433"/>
    <w:rsid w:val="46782988"/>
    <w:rsid w:val="4679219D"/>
    <w:rsid w:val="4684047B"/>
    <w:rsid w:val="468B63E1"/>
    <w:rsid w:val="468F449D"/>
    <w:rsid w:val="469041D9"/>
    <w:rsid w:val="46980BEB"/>
    <w:rsid w:val="469A1DE1"/>
    <w:rsid w:val="469A6D54"/>
    <w:rsid w:val="469D4B38"/>
    <w:rsid w:val="469F3108"/>
    <w:rsid w:val="46A010C4"/>
    <w:rsid w:val="46A35854"/>
    <w:rsid w:val="46A41580"/>
    <w:rsid w:val="46B11928"/>
    <w:rsid w:val="46B501BA"/>
    <w:rsid w:val="46CA18E5"/>
    <w:rsid w:val="46E0571D"/>
    <w:rsid w:val="46E157EC"/>
    <w:rsid w:val="46F52564"/>
    <w:rsid w:val="46FA2A69"/>
    <w:rsid w:val="47070A21"/>
    <w:rsid w:val="470F10CD"/>
    <w:rsid w:val="47184DDE"/>
    <w:rsid w:val="47211D67"/>
    <w:rsid w:val="472C5988"/>
    <w:rsid w:val="472F336D"/>
    <w:rsid w:val="47345C33"/>
    <w:rsid w:val="4739280C"/>
    <w:rsid w:val="47475FC8"/>
    <w:rsid w:val="476A5DA9"/>
    <w:rsid w:val="47703E6F"/>
    <w:rsid w:val="477F6E5D"/>
    <w:rsid w:val="47810F03"/>
    <w:rsid w:val="478347FC"/>
    <w:rsid w:val="47857A4F"/>
    <w:rsid w:val="47885205"/>
    <w:rsid w:val="47921A03"/>
    <w:rsid w:val="4795344E"/>
    <w:rsid w:val="479643E6"/>
    <w:rsid w:val="47A148C8"/>
    <w:rsid w:val="47AB0ABE"/>
    <w:rsid w:val="47AD0A8B"/>
    <w:rsid w:val="47B93CCC"/>
    <w:rsid w:val="47D10A5B"/>
    <w:rsid w:val="47D65BC7"/>
    <w:rsid w:val="47D86888"/>
    <w:rsid w:val="47E77D59"/>
    <w:rsid w:val="47E85E7A"/>
    <w:rsid w:val="47E90E0E"/>
    <w:rsid w:val="47F77DB2"/>
    <w:rsid w:val="47F9439D"/>
    <w:rsid w:val="480609F5"/>
    <w:rsid w:val="48185F56"/>
    <w:rsid w:val="481B3D14"/>
    <w:rsid w:val="481C4DFF"/>
    <w:rsid w:val="481D4311"/>
    <w:rsid w:val="4827328A"/>
    <w:rsid w:val="482A17CC"/>
    <w:rsid w:val="483A3910"/>
    <w:rsid w:val="484503C3"/>
    <w:rsid w:val="48455AB9"/>
    <w:rsid w:val="48497207"/>
    <w:rsid w:val="485607ED"/>
    <w:rsid w:val="485B750C"/>
    <w:rsid w:val="4864614A"/>
    <w:rsid w:val="48650414"/>
    <w:rsid w:val="487D17E2"/>
    <w:rsid w:val="488057F5"/>
    <w:rsid w:val="48A37AE4"/>
    <w:rsid w:val="48A96506"/>
    <w:rsid w:val="48AC6FB8"/>
    <w:rsid w:val="48B125DB"/>
    <w:rsid w:val="48C0274E"/>
    <w:rsid w:val="48C3345C"/>
    <w:rsid w:val="48D909BE"/>
    <w:rsid w:val="48D97E74"/>
    <w:rsid w:val="48E119F8"/>
    <w:rsid w:val="48E54C5B"/>
    <w:rsid w:val="48E70832"/>
    <w:rsid w:val="48EB6ECF"/>
    <w:rsid w:val="48EC2562"/>
    <w:rsid w:val="48ED27A9"/>
    <w:rsid w:val="48F20593"/>
    <w:rsid w:val="49027888"/>
    <w:rsid w:val="4903715C"/>
    <w:rsid w:val="490B34E4"/>
    <w:rsid w:val="490F7884"/>
    <w:rsid w:val="491362B4"/>
    <w:rsid w:val="491812DB"/>
    <w:rsid w:val="49223B8C"/>
    <w:rsid w:val="492858AD"/>
    <w:rsid w:val="492E50E2"/>
    <w:rsid w:val="49334824"/>
    <w:rsid w:val="49365988"/>
    <w:rsid w:val="49395ACD"/>
    <w:rsid w:val="494166D7"/>
    <w:rsid w:val="494857C3"/>
    <w:rsid w:val="49545DE1"/>
    <w:rsid w:val="495D28E4"/>
    <w:rsid w:val="496811C7"/>
    <w:rsid w:val="49726B4F"/>
    <w:rsid w:val="497412CC"/>
    <w:rsid w:val="49763707"/>
    <w:rsid w:val="49771F29"/>
    <w:rsid w:val="497838FC"/>
    <w:rsid w:val="498E0703"/>
    <w:rsid w:val="49A24204"/>
    <w:rsid w:val="49A41DAF"/>
    <w:rsid w:val="49AB30F2"/>
    <w:rsid w:val="49AB5992"/>
    <w:rsid w:val="49B734C1"/>
    <w:rsid w:val="49C14700"/>
    <w:rsid w:val="49C82DE3"/>
    <w:rsid w:val="49CC6965"/>
    <w:rsid w:val="49D12306"/>
    <w:rsid w:val="49D70FA5"/>
    <w:rsid w:val="49E17A09"/>
    <w:rsid w:val="49F14902"/>
    <w:rsid w:val="49FE78F3"/>
    <w:rsid w:val="4A0673AB"/>
    <w:rsid w:val="4A14405C"/>
    <w:rsid w:val="4A1503FB"/>
    <w:rsid w:val="4A177FC7"/>
    <w:rsid w:val="4A1D0DCE"/>
    <w:rsid w:val="4A2833A0"/>
    <w:rsid w:val="4A317F9C"/>
    <w:rsid w:val="4A441D8A"/>
    <w:rsid w:val="4A4D70D4"/>
    <w:rsid w:val="4A60408A"/>
    <w:rsid w:val="4A800A46"/>
    <w:rsid w:val="4A8B2BB9"/>
    <w:rsid w:val="4A930B05"/>
    <w:rsid w:val="4A9769C3"/>
    <w:rsid w:val="4A9A4324"/>
    <w:rsid w:val="4AA06D30"/>
    <w:rsid w:val="4AA4108A"/>
    <w:rsid w:val="4AB26138"/>
    <w:rsid w:val="4AB4666F"/>
    <w:rsid w:val="4AB84FC6"/>
    <w:rsid w:val="4ABC3B75"/>
    <w:rsid w:val="4AC20EF4"/>
    <w:rsid w:val="4ACB106B"/>
    <w:rsid w:val="4ACF612B"/>
    <w:rsid w:val="4AE03A6D"/>
    <w:rsid w:val="4AE64C39"/>
    <w:rsid w:val="4AEA0FD4"/>
    <w:rsid w:val="4AEB05AE"/>
    <w:rsid w:val="4AEE5A57"/>
    <w:rsid w:val="4AF23B5E"/>
    <w:rsid w:val="4AFC0A86"/>
    <w:rsid w:val="4AFE1CA6"/>
    <w:rsid w:val="4B01754B"/>
    <w:rsid w:val="4B0200DB"/>
    <w:rsid w:val="4B062FFF"/>
    <w:rsid w:val="4B08064B"/>
    <w:rsid w:val="4B081794"/>
    <w:rsid w:val="4B0D2D2B"/>
    <w:rsid w:val="4B126EBF"/>
    <w:rsid w:val="4B1F3589"/>
    <w:rsid w:val="4B2C3E03"/>
    <w:rsid w:val="4B2D648C"/>
    <w:rsid w:val="4B346A7A"/>
    <w:rsid w:val="4B3C5907"/>
    <w:rsid w:val="4B3F488E"/>
    <w:rsid w:val="4B4A5833"/>
    <w:rsid w:val="4B4D3CFF"/>
    <w:rsid w:val="4B5147A9"/>
    <w:rsid w:val="4B85113F"/>
    <w:rsid w:val="4B8A4C6D"/>
    <w:rsid w:val="4B8F39C8"/>
    <w:rsid w:val="4B982536"/>
    <w:rsid w:val="4B9E6BC4"/>
    <w:rsid w:val="4BA031D6"/>
    <w:rsid w:val="4BA14D48"/>
    <w:rsid w:val="4BA43054"/>
    <w:rsid w:val="4BA95F9D"/>
    <w:rsid w:val="4BAC5FFB"/>
    <w:rsid w:val="4BAF00B5"/>
    <w:rsid w:val="4BB170C9"/>
    <w:rsid w:val="4BC56BCF"/>
    <w:rsid w:val="4BCB29FB"/>
    <w:rsid w:val="4BD330DA"/>
    <w:rsid w:val="4BDB55B8"/>
    <w:rsid w:val="4BDB5C2F"/>
    <w:rsid w:val="4BDB6A95"/>
    <w:rsid w:val="4BDF22A3"/>
    <w:rsid w:val="4BE9527B"/>
    <w:rsid w:val="4BEA5873"/>
    <w:rsid w:val="4BF3543D"/>
    <w:rsid w:val="4BF508D9"/>
    <w:rsid w:val="4BF742C2"/>
    <w:rsid w:val="4BF77542"/>
    <w:rsid w:val="4C04014B"/>
    <w:rsid w:val="4C0B6910"/>
    <w:rsid w:val="4C1476D7"/>
    <w:rsid w:val="4C182F31"/>
    <w:rsid w:val="4C23740D"/>
    <w:rsid w:val="4C2B1578"/>
    <w:rsid w:val="4C32567D"/>
    <w:rsid w:val="4C336944"/>
    <w:rsid w:val="4C425B12"/>
    <w:rsid w:val="4C485316"/>
    <w:rsid w:val="4C5379CE"/>
    <w:rsid w:val="4C5432E1"/>
    <w:rsid w:val="4C5D2A0F"/>
    <w:rsid w:val="4C5F2423"/>
    <w:rsid w:val="4C6A7FA8"/>
    <w:rsid w:val="4C6D1C52"/>
    <w:rsid w:val="4C8315DF"/>
    <w:rsid w:val="4C910F71"/>
    <w:rsid w:val="4C926835"/>
    <w:rsid w:val="4C933CFB"/>
    <w:rsid w:val="4C992D6B"/>
    <w:rsid w:val="4CA91FD0"/>
    <w:rsid w:val="4CED2455"/>
    <w:rsid w:val="4CF0164D"/>
    <w:rsid w:val="4CF87B2E"/>
    <w:rsid w:val="4D002E95"/>
    <w:rsid w:val="4D016895"/>
    <w:rsid w:val="4D051158"/>
    <w:rsid w:val="4D0C1306"/>
    <w:rsid w:val="4D1848DB"/>
    <w:rsid w:val="4D1A5D4C"/>
    <w:rsid w:val="4D2235C5"/>
    <w:rsid w:val="4D261EE2"/>
    <w:rsid w:val="4D2B52B7"/>
    <w:rsid w:val="4D444B51"/>
    <w:rsid w:val="4D4E27F6"/>
    <w:rsid w:val="4D512659"/>
    <w:rsid w:val="4D543F87"/>
    <w:rsid w:val="4D586D4E"/>
    <w:rsid w:val="4D5B4442"/>
    <w:rsid w:val="4D6A6AF6"/>
    <w:rsid w:val="4D754D3E"/>
    <w:rsid w:val="4D794704"/>
    <w:rsid w:val="4D7C2977"/>
    <w:rsid w:val="4D7C4B1B"/>
    <w:rsid w:val="4D7D7807"/>
    <w:rsid w:val="4D7E17EB"/>
    <w:rsid w:val="4D7F069E"/>
    <w:rsid w:val="4D836D5D"/>
    <w:rsid w:val="4D8C019F"/>
    <w:rsid w:val="4D8F654E"/>
    <w:rsid w:val="4D9446DC"/>
    <w:rsid w:val="4D966ED5"/>
    <w:rsid w:val="4DB36837"/>
    <w:rsid w:val="4DB85414"/>
    <w:rsid w:val="4DB929FC"/>
    <w:rsid w:val="4DCD7B47"/>
    <w:rsid w:val="4DD5191E"/>
    <w:rsid w:val="4DD51BC5"/>
    <w:rsid w:val="4DDE4174"/>
    <w:rsid w:val="4DF62201"/>
    <w:rsid w:val="4E0D1679"/>
    <w:rsid w:val="4E0E4F2B"/>
    <w:rsid w:val="4E10218B"/>
    <w:rsid w:val="4E15261E"/>
    <w:rsid w:val="4E1A35F9"/>
    <w:rsid w:val="4E1B1503"/>
    <w:rsid w:val="4E1C4EF4"/>
    <w:rsid w:val="4E402FE4"/>
    <w:rsid w:val="4E587C8F"/>
    <w:rsid w:val="4E6B0E5E"/>
    <w:rsid w:val="4E7A3A43"/>
    <w:rsid w:val="4E7D4660"/>
    <w:rsid w:val="4E8348F4"/>
    <w:rsid w:val="4E8B5681"/>
    <w:rsid w:val="4E9A6D2A"/>
    <w:rsid w:val="4E9E3AA5"/>
    <w:rsid w:val="4EA3096E"/>
    <w:rsid w:val="4EA37574"/>
    <w:rsid w:val="4EAC538A"/>
    <w:rsid w:val="4EAE4B34"/>
    <w:rsid w:val="4EBD56A9"/>
    <w:rsid w:val="4EC9273F"/>
    <w:rsid w:val="4EC9497F"/>
    <w:rsid w:val="4EDF5FD6"/>
    <w:rsid w:val="4EE82DD9"/>
    <w:rsid w:val="4EEE4DD7"/>
    <w:rsid w:val="4EEF51BB"/>
    <w:rsid w:val="4EF13A9C"/>
    <w:rsid w:val="4EF971AF"/>
    <w:rsid w:val="4EFA0E4E"/>
    <w:rsid w:val="4F06090E"/>
    <w:rsid w:val="4F0E08C1"/>
    <w:rsid w:val="4F0E24F6"/>
    <w:rsid w:val="4F1227F6"/>
    <w:rsid w:val="4F157348"/>
    <w:rsid w:val="4F1969FB"/>
    <w:rsid w:val="4F1A5323"/>
    <w:rsid w:val="4F2058BD"/>
    <w:rsid w:val="4F2762B2"/>
    <w:rsid w:val="4F313656"/>
    <w:rsid w:val="4F3410F4"/>
    <w:rsid w:val="4F384904"/>
    <w:rsid w:val="4F3D434D"/>
    <w:rsid w:val="4F411D2E"/>
    <w:rsid w:val="4F453EFA"/>
    <w:rsid w:val="4F4E2B10"/>
    <w:rsid w:val="4F575C4E"/>
    <w:rsid w:val="4F5A3AA9"/>
    <w:rsid w:val="4F672F65"/>
    <w:rsid w:val="4F6A0C31"/>
    <w:rsid w:val="4F6F2A2C"/>
    <w:rsid w:val="4F7E669E"/>
    <w:rsid w:val="4F885D4F"/>
    <w:rsid w:val="4F95382C"/>
    <w:rsid w:val="4F9678E2"/>
    <w:rsid w:val="4F9F2E90"/>
    <w:rsid w:val="4FA0572A"/>
    <w:rsid w:val="4FA44A6E"/>
    <w:rsid w:val="4FA9415C"/>
    <w:rsid w:val="4FAC531E"/>
    <w:rsid w:val="4FB24A06"/>
    <w:rsid w:val="4FB30BBE"/>
    <w:rsid w:val="4FBD07B9"/>
    <w:rsid w:val="4FC64800"/>
    <w:rsid w:val="4FDD02EB"/>
    <w:rsid w:val="4FE949FF"/>
    <w:rsid w:val="4FEC0740"/>
    <w:rsid w:val="4FF64D10"/>
    <w:rsid w:val="4FFD3A52"/>
    <w:rsid w:val="4FFF20DC"/>
    <w:rsid w:val="5012460A"/>
    <w:rsid w:val="501B2FFB"/>
    <w:rsid w:val="501C46D1"/>
    <w:rsid w:val="5029554D"/>
    <w:rsid w:val="50426D89"/>
    <w:rsid w:val="5043060B"/>
    <w:rsid w:val="50433F66"/>
    <w:rsid w:val="50441A91"/>
    <w:rsid w:val="50441ACD"/>
    <w:rsid w:val="50530D72"/>
    <w:rsid w:val="50656BF0"/>
    <w:rsid w:val="506B097A"/>
    <w:rsid w:val="50855DB2"/>
    <w:rsid w:val="50886D0D"/>
    <w:rsid w:val="5092245B"/>
    <w:rsid w:val="50990435"/>
    <w:rsid w:val="509A7A7D"/>
    <w:rsid w:val="509C36A1"/>
    <w:rsid w:val="50A31CED"/>
    <w:rsid w:val="50A766AD"/>
    <w:rsid w:val="50B65ADE"/>
    <w:rsid w:val="50C12BBF"/>
    <w:rsid w:val="50CB1ABF"/>
    <w:rsid w:val="50EF6BCC"/>
    <w:rsid w:val="50F21C4C"/>
    <w:rsid w:val="50F237F6"/>
    <w:rsid w:val="50F42F8D"/>
    <w:rsid w:val="51022F71"/>
    <w:rsid w:val="51040804"/>
    <w:rsid w:val="51136D26"/>
    <w:rsid w:val="511B6490"/>
    <w:rsid w:val="51292ED6"/>
    <w:rsid w:val="51483A65"/>
    <w:rsid w:val="514D1D5C"/>
    <w:rsid w:val="515A7030"/>
    <w:rsid w:val="516B4281"/>
    <w:rsid w:val="51703487"/>
    <w:rsid w:val="51850404"/>
    <w:rsid w:val="51A25D12"/>
    <w:rsid w:val="51B24BE9"/>
    <w:rsid w:val="51C73099"/>
    <w:rsid w:val="51DE18EF"/>
    <w:rsid w:val="51E3487E"/>
    <w:rsid w:val="51EC6CA4"/>
    <w:rsid w:val="51EC71E9"/>
    <w:rsid w:val="51EF7C62"/>
    <w:rsid w:val="51F0590B"/>
    <w:rsid w:val="51F20B43"/>
    <w:rsid w:val="51F40733"/>
    <w:rsid w:val="51F57116"/>
    <w:rsid w:val="51F6283A"/>
    <w:rsid w:val="51FC6D42"/>
    <w:rsid w:val="51FE560F"/>
    <w:rsid w:val="51FF3131"/>
    <w:rsid w:val="52073B71"/>
    <w:rsid w:val="5213754A"/>
    <w:rsid w:val="521455CC"/>
    <w:rsid w:val="5247111F"/>
    <w:rsid w:val="52513DB9"/>
    <w:rsid w:val="52565E2B"/>
    <w:rsid w:val="52626149"/>
    <w:rsid w:val="52632328"/>
    <w:rsid w:val="52670B70"/>
    <w:rsid w:val="526C5610"/>
    <w:rsid w:val="52700326"/>
    <w:rsid w:val="527C035D"/>
    <w:rsid w:val="527F575F"/>
    <w:rsid w:val="52812A03"/>
    <w:rsid w:val="52A56B2F"/>
    <w:rsid w:val="52A65035"/>
    <w:rsid w:val="52B1199A"/>
    <w:rsid w:val="52B41C4A"/>
    <w:rsid w:val="52B809BF"/>
    <w:rsid w:val="52BF39C4"/>
    <w:rsid w:val="52C07CE9"/>
    <w:rsid w:val="52C2721F"/>
    <w:rsid w:val="52D03264"/>
    <w:rsid w:val="52D3102C"/>
    <w:rsid w:val="52DD1794"/>
    <w:rsid w:val="52F50EA4"/>
    <w:rsid w:val="53026CEE"/>
    <w:rsid w:val="5303110F"/>
    <w:rsid w:val="530828C8"/>
    <w:rsid w:val="531000AA"/>
    <w:rsid w:val="53147237"/>
    <w:rsid w:val="5316238D"/>
    <w:rsid w:val="53212BB0"/>
    <w:rsid w:val="5329192D"/>
    <w:rsid w:val="532D0386"/>
    <w:rsid w:val="53307E3D"/>
    <w:rsid w:val="533671EA"/>
    <w:rsid w:val="53377602"/>
    <w:rsid w:val="53390B99"/>
    <w:rsid w:val="533B3E86"/>
    <w:rsid w:val="533C5B0A"/>
    <w:rsid w:val="53441F81"/>
    <w:rsid w:val="5362110A"/>
    <w:rsid w:val="536B1EA6"/>
    <w:rsid w:val="53715303"/>
    <w:rsid w:val="53722AB4"/>
    <w:rsid w:val="53730FCB"/>
    <w:rsid w:val="53905F7A"/>
    <w:rsid w:val="53917477"/>
    <w:rsid w:val="539D458F"/>
    <w:rsid w:val="53A1636B"/>
    <w:rsid w:val="53AA2E11"/>
    <w:rsid w:val="53AA5463"/>
    <w:rsid w:val="53AF0891"/>
    <w:rsid w:val="53B4208F"/>
    <w:rsid w:val="53B97DFD"/>
    <w:rsid w:val="53C34B12"/>
    <w:rsid w:val="53C4734A"/>
    <w:rsid w:val="53C96024"/>
    <w:rsid w:val="53CD2B17"/>
    <w:rsid w:val="53DA56CE"/>
    <w:rsid w:val="53E00AF3"/>
    <w:rsid w:val="53EF1C4F"/>
    <w:rsid w:val="53F335E8"/>
    <w:rsid w:val="53F43767"/>
    <w:rsid w:val="53F5752E"/>
    <w:rsid w:val="53F73BE3"/>
    <w:rsid w:val="54023C18"/>
    <w:rsid w:val="540805E4"/>
    <w:rsid w:val="540C0CB0"/>
    <w:rsid w:val="54142A2F"/>
    <w:rsid w:val="54211F24"/>
    <w:rsid w:val="54306EBE"/>
    <w:rsid w:val="54390886"/>
    <w:rsid w:val="543A0AE0"/>
    <w:rsid w:val="5440215B"/>
    <w:rsid w:val="54466BE3"/>
    <w:rsid w:val="54514592"/>
    <w:rsid w:val="54531BD2"/>
    <w:rsid w:val="545761DE"/>
    <w:rsid w:val="546342AB"/>
    <w:rsid w:val="546D4D06"/>
    <w:rsid w:val="54752057"/>
    <w:rsid w:val="547532FF"/>
    <w:rsid w:val="547A303C"/>
    <w:rsid w:val="547B0111"/>
    <w:rsid w:val="547C386B"/>
    <w:rsid w:val="547E32E3"/>
    <w:rsid w:val="548006BB"/>
    <w:rsid w:val="548D4BB9"/>
    <w:rsid w:val="548E438B"/>
    <w:rsid w:val="549103EB"/>
    <w:rsid w:val="5492401D"/>
    <w:rsid w:val="54931849"/>
    <w:rsid w:val="5493528E"/>
    <w:rsid w:val="5493747C"/>
    <w:rsid w:val="54965B93"/>
    <w:rsid w:val="549C4821"/>
    <w:rsid w:val="54A73D8C"/>
    <w:rsid w:val="54B61EB9"/>
    <w:rsid w:val="54B9704F"/>
    <w:rsid w:val="54BD6110"/>
    <w:rsid w:val="54BF35A6"/>
    <w:rsid w:val="54C12B00"/>
    <w:rsid w:val="54C27296"/>
    <w:rsid w:val="54CC3B6E"/>
    <w:rsid w:val="54E134F1"/>
    <w:rsid w:val="54F7294C"/>
    <w:rsid w:val="54FB311B"/>
    <w:rsid w:val="54FE5FB5"/>
    <w:rsid w:val="55073EDF"/>
    <w:rsid w:val="551B6FA6"/>
    <w:rsid w:val="55232D3F"/>
    <w:rsid w:val="55245140"/>
    <w:rsid w:val="55262E2E"/>
    <w:rsid w:val="552730CC"/>
    <w:rsid w:val="553171FC"/>
    <w:rsid w:val="553A5124"/>
    <w:rsid w:val="554523B0"/>
    <w:rsid w:val="554A5FF8"/>
    <w:rsid w:val="554E5650"/>
    <w:rsid w:val="5555601B"/>
    <w:rsid w:val="55582D92"/>
    <w:rsid w:val="555C71BF"/>
    <w:rsid w:val="55612D62"/>
    <w:rsid w:val="556213DD"/>
    <w:rsid w:val="55650283"/>
    <w:rsid w:val="556C753B"/>
    <w:rsid w:val="55764649"/>
    <w:rsid w:val="558619B1"/>
    <w:rsid w:val="5587276B"/>
    <w:rsid w:val="55936780"/>
    <w:rsid w:val="55937E6B"/>
    <w:rsid w:val="55952E75"/>
    <w:rsid w:val="5597256A"/>
    <w:rsid w:val="559D2392"/>
    <w:rsid w:val="559E054C"/>
    <w:rsid w:val="559F46BF"/>
    <w:rsid w:val="55A4365A"/>
    <w:rsid w:val="55A61404"/>
    <w:rsid w:val="55AC23B8"/>
    <w:rsid w:val="55AE0122"/>
    <w:rsid w:val="55B818FF"/>
    <w:rsid w:val="55B92F38"/>
    <w:rsid w:val="55C445AF"/>
    <w:rsid w:val="55CA451D"/>
    <w:rsid w:val="55DC3283"/>
    <w:rsid w:val="55E269AF"/>
    <w:rsid w:val="55E76A20"/>
    <w:rsid w:val="55ED5FFF"/>
    <w:rsid w:val="55F26803"/>
    <w:rsid w:val="55F436CE"/>
    <w:rsid w:val="55FD6164"/>
    <w:rsid w:val="560321DC"/>
    <w:rsid w:val="56093871"/>
    <w:rsid w:val="560C43F4"/>
    <w:rsid w:val="560D2EC8"/>
    <w:rsid w:val="56147899"/>
    <w:rsid w:val="56161314"/>
    <w:rsid w:val="56184981"/>
    <w:rsid w:val="561D33D2"/>
    <w:rsid w:val="56271505"/>
    <w:rsid w:val="562802C2"/>
    <w:rsid w:val="562A0EA7"/>
    <w:rsid w:val="562D1ADC"/>
    <w:rsid w:val="562F28E3"/>
    <w:rsid w:val="563C4641"/>
    <w:rsid w:val="56404AB4"/>
    <w:rsid w:val="56425FFA"/>
    <w:rsid w:val="56434A1E"/>
    <w:rsid w:val="564A680A"/>
    <w:rsid w:val="565F0EA9"/>
    <w:rsid w:val="566802A7"/>
    <w:rsid w:val="56691A8A"/>
    <w:rsid w:val="5674410D"/>
    <w:rsid w:val="567B1BD0"/>
    <w:rsid w:val="568068EE"/>
    <w:rsid w:val="56892734"/>
    <w:rsid w:val="568A1066"/>
    <w:rsid w:val="569453D0"/>
    <w:rsid w:val="56A4155F"/>
    <w:rsid w:val="56AD0483"/>
    <w:rsid w:val="56AD7FD5"/>
    <w:rsid w:val="56B01307"/>
    <w:rsid w:val="56B419FE"/>
    <w:rsid w:val="56BC626E"/>
    <w:rsid w:val="56C37B75"/>
    <w:rsid w:val="56D70BED"/>
    <w:rsid w:val="56E82E09"/>
    <w:rsid w:val="56F02311"/>
    <w:rsid w:val="56F02D8C"/>
    <w:rsid w:val="5706630F"/>
    <w:rsid w:val="570E421B"/>
    <w:rsid w:val="571077BE"/>
    <w:rsid w:val="57215DF8"/>
    <w:rsid w:val="57304DCC"/>
    <w:rsid w:val="5732532F"/>
    <w:rsid w:val="574B2BC1"/>
    <w:rsid w:val="575215D5"/>
    <w:rsid w:val="57540201"/>
    <w:rsid w:val="5757164E"/>
    <w:rsid w:val="576C2826"/>
    <w:rsid w:val="5772662D"/>
    <w:rsid w:val="5775421F"/>
    <w:rsid w:val="57797672"/>
    <w:rsid w:val="57844FB0"/>
    <w:rsid w:val="57892444"/>
    <w:rsid w:val="5789689A"/>
    <w:rsid w:val="57955902"/>
    <w:rsid w:val="579C51CA"/>
    <w:rsid w:val="579F0D44"/>
    <w:rsid w:val="57A90BDB"/>
    <w:rsid w:val="57A965F6"/>
    <w:rsid w:val="57AB631F"/>
    <w:rsid w:val="57B3397D"/>
    <w:rsid w:val="57BF5212"/>
    <w:rsid w:val="57C40785"/>
    <w:rsid w:val="57D02A81"/>
    <w:rsid w:val="57DA290F"/>
    <w:rsid w:val="57DE0303"/>
    <w:rsid w:val="57DF4DE7"/>
    <w:rsid w:val="57E44C4B"/>
    <w:rsid w:val="57E63455"/>
    <w:rsid w:val="57F02A62"/>
    <w:rsid w:val="57F86C37"/>
    <w:rsid w:val="57FF57C6"/>
    <w:rsid w:val="580E5743"/>
    <w:rsid w:val="58124B37"/>
    <w:rsid w:val="5827754A"/>
    <w:rsid w:val="582B4F03"/>
    <w:rsid w:val="582D19FA"/>
    <w:rsid w:val="58343D72"/>
    <w:rsid w:val="58357C53"/>
    <w:rsid w:val="584D38E1"/>
    <w:rsid w:val="585179D4"/>
    <w:rsid w:val="58547FB6"/>
    <w:rsid w:val="585E25B1"/>
    <w:rsid w:val="5866623D"/>
    <w:rsid w:val="586B25BC"/>
    <w:rsid w:val="5874027D"/>
    <w:rsid w:val="58794860"/>
    <w:rsid w:val="58861D33"/>
    <w:rsid w:val="588D7A9A"/>
    <w:rsid w:val="589B1E61"/>
    <w:rsid w:val="58A54CF4"/>
    <w:rsid w:val="58A55F85"/>
    <w:rsid w:val="58A92C8A"/>
    <w:rsid w:val="58B96BE3"/>
    <w:rsid w:val="58F43D6A"/>
    <w:rsid w:val="58FD37FE"/>
    <w:rsid w:val="59002B59"/>
    <w:rsid w:val="59020BE2"/>
    <w:rsid w:val="59171BE7"/>
    <w:rsid w:val="591C10C8"/>
    <w:rsid w:val="592358F6"/>
    <w:rsid w:val="59245ABD"/>
    <w:rsid w:val="59263347"/>
    <w:rsid w:val="59275593"/>
    <w:rsid w:val="59277ED4"/>
    <w:rsid w:val="592C021C"/>
    <w:rsid w:val="59446FD4"/>
    <w:rsid w:val="594E2932"/>
    <w:rsid w:val="595B754A"/>
    <w:rsid w:val="596018EF"/>
    <w:rsid w:val="59663448"/>
    <w:rsid w:val="596E544E"/>
    <w:rsid w:val="59802B08"/>
    <w:rsid w:val="59901044"/>
    <w:rsid w:val="59920AE8"/>
    <w:rsid w:val="599F3F79"/>
    <w:rsid w:val="59A31DD8"/>
    <w:rsid w:val="59A31EC3"/>
    <w:rsid w:val="59AA3790"/>
    <w:rsid w:val="59AF3639"/>
    <w:rsid w:val="59B05506"/>
    <w:rsid w:val="59C02927"/>
    <w:rsid w:val="59C407A1"/>
    <w:rsid w:val="59C416D9"/>
    <w:rsid w:val="59EB0BA9"/>
    <w:rsid w:val="59FD4A10"/>
    <w:rsid w:val="59FE26E5"/>
    <w:rsid w:val="5A022854"/>
    <w:rsid w:val="5A110CF5"/>
    <w:rsid w:val="5A1118B9"/>
    <w:rsid w:val="5A1545B5"/>
    <w:rsid w:val="5A201F2D"/>
    <w:rsid w:val="5A25455E"/>
    <w:rsid w:val="5A2A67D6"/>
    <w:rsid w:val="5A3D2FB7"/>
    <w:rsid w:val="5A403FD0"/>
    <w:rsid w:val="5A41042F"/>
    <w:rsid w:val="5A4345F9"/>
    <w:rsid w:val="5A4E0746"/>
    <w:rsid w:val="5A4E7EFB"/>
    <w:rsid w:val="5A515306"/>
    <w:rsid w:val="5A5517F3"/>
    <w:rsid w:val="5A564A9F"/>
    <w:rsid w:val="5A5834B1"/>
    <w:rsid w:val="5A5C0BA4"/>
    <w:rsid w:val="5A5D18F1"/>
    <w:rsid w:val="5A6716B7"/>
    <w:rsid w:val="5A6D38B4"/>
    <w:rsid w:val="5A753EB3"/>
    <w:rsid w:val="5A7904CE"/>
    <w:rsid w:val="5A7F5B4C"/>
    <w:rsid w:val="5A8E0D19"/>
    <w:rsid w:val="5A960B1C"/>
    <w:rsid w:val="5A9D5F62"/>
    <w:rsid w:val="5AAC24EB"/>
    <w:rsid w:val="5AB229B3"/>
    <w:rsid w:val="5AB737E6"/>
    <w:rsid w:val="5AB95C31"/>
    <w:rsid w:val="5AC2673C"/>
    <w:rsid w:val="5AC60F9E"/>
    <w:rsid w:val="5AE300DA"/>
    <w:rsid w:val="5AE65625"/>
    <w:rsid w:val="5AE921B3"/>
    <w:rsid w:val="5AEA31E1"/>
    <w:rsid w:val="5AFB3E7A"/>
    <w:rsid w:val="5AFB469E"/>
    <w:rsid w:val="5AFD5181"/>
    <w:rsid w:val="5AFF5716"/>
    <w:rsid w:val="5B016D6F"/>
    <w:rsid w:val="5B0A1F5B"/>
    <w:rsid w:val="5B0E2D03"/>
    <w:rsid w:val="5B1128D5"/>
    <w:rsid w:val="5B1452F3"/>
    <w:rsid w:val="5B182B97"/>
    <w:rsid w:val="5B1D2672"/>
    <w:rsid w:val="5B243751"/>
    <w:rsid w:val="5B2C77E5"/>
    <w:rsid w:val="5B2D1D76"/>
    <w:rsid w:val="5B395841"/>
    <w:rsid w:val="5B3A6E7F"/>
    <w:rsid w:val="5B45234D"/>
    <w:rsid w:val="5B4F0825"/>
    <w:rsid w:val="5B5362FE"/>
    <w:rsid w:val="5B5C0CC4"/>
    <w:rsid w:val="5B610F4E"/>
    <w:rsid w:val="5B632BF1"/>
    <w:rsid w:val="5B6478CC"/>
    <w:rsid w:val="5B6F7AE3"/>
    <w:rsid w:val="5B7312F5"/>
    <w:rsid w:val="5B810BD4"/>
    <w:rsid w:val="5B811F85"/>
    <w:rsid w:val="5B871829"/>
    <w:rsid w:val="5B892702"/>
    <w:rsid w:val="5B8C5379"/>
    <w:rsid w:val="5B9F059C"/>
    <w:rsid w:val="5BA00D7E"/>
    <w:rsid w:val="5BA35BDE"/>
    <w:rsid w:val="5BA674C5"/>
    <w:rsid w:val="5BBE5416"/>
    <w:rsid w:val="5BC01332"/>
    <w:rsid w:val="5BDF7A74"/>
    <w:rsid w:val="5BE63003"/>
    <w:rsid w:val="5BF75C90"/>
    <w:rsid w:val="5BF81415"/>
    <w:rsid w:val="5BFC5D3D"/>
    <w:rsid w:val="5BFD4E2D"/>
    <w:rsid w:val="5C077999"/>
    <w:rsid w:val="5C0E1B35"/>
    <w:rsid w:val="5C16579F"/>
    <w:rsid w:val="5C1A2110"/>
    <w:rsid w:val="5C2B163B"/>
    <w:rsid w:val="5C3F473E"/>
    <w:rsid w:val="5C40355C"/>
    <w:rsid w:val="5C450A23"/>
    <w:rsid w:val="5C4A3091"/>
    <w:rsid w:val="5C4E16C1"/>
    <w:rsid w:val="5C50510C"/>
    <w:rsid w:val="5C511D65"/>
    <w:rsid w:val="5C6B1CA0"/>
    <w:rsid w:val="5C6C442E"/>
    <w:rsid w:val="5C923C40"/>
    <w:rsid w:val="5CA4791F"/>
    <w:rsid w:val="5CB22376"/>
    <w:rsid w:val="5CB41C19"/>
    <w:rsid w:val="5CB8030B"/>
    <w:rsid w:val="5CB86151"/>
    <w:rsid w:val="5CBB1E64"/>
    <w:rsid w:val="5CC027E3"/>
    <w:rsid w:val="5CC901F0"/>
    <w:rsid w:val="5CD27C0B"/>
    <w:rsid w:val="5CD66212"/>
    <w:rsid w:val="5CE30ABE"/>
    <w:rsid w:val="5CEE2B82"/>
    <w:rsid w:val="5CEE2C11"/>
    <w:rsid w:val="5CF552D7"/>
    <w:rsid w:val="5CF74730"/>
    <w:rsid w:val="5D043A70"/>
    <w:rsid w:val="5D07281B"/>
    <w:rsid w:val="5D0D79CE"/>
    <w:rsid w:val="5D0E35D3"/>
    <w:rsid w:val="5D0F410F"/>
    <w:rsid w:val="5D1E043A"/>
    <w:rsid w:val="5D261335"/>
    <w:rsid w:val="5D267ECA"/>
    <w:rsid w:val="5D2C1D10"/>
    <w:rsid w:val="5D313632"/>
    <w:rsid w:val="5D4361A8"/>
    <w:rsid w:val="5D4574C3"/>
    <w:rsid w:val="5D4C6381"/>
    <w:rsid w:val="5D4E7D93"/>
    <w:rsid w:val="5D5120BD"/>
    <w:rsid w:val="5D521862"/>
    <w:rsid w:val="5D585208"/>
    <w:rsid w:val="5D595A51"/>
    <w:rsid w:val="5D5A0DB7"/>
    <w:rsid w:val="5D637256"/>
    <w:rsid w:val="5D6453CC"/>
    <w:rsid w:val="5D6F5E53"/>
    <w:rsid w:val="5D7301D1"/>
    <w:rsid w:val="5D757DB4"/>
    <w:rsid w:val="5D7D3409"/>
    <w:rsid w:val="5D826750"/>
    <w:rsid w:val="5D8366F1"/>
    <w:rsid w:val="5D861D02"/>
    <w:rsid w:val="5D862701"/>
    <w:rsid w:val="5D9405B3"/>
    <w:rsid w:val="5DA31EBE"/>
    <w:rsid w:val="5DAA6FCD"/>
    <w:rsid w:val="5DAB3296"/>
    <w:rsid w:val="5DC34E5B"/>
    <w:rsid w:val="5DC373B4"/>
    <w:rsid w:val="5DC9699C"/>
    <w:rsid w:val="5DCA7227"/>
    <w:rsid w:val="5DD03CC4"/>
    <w:rsid w:val="5DDC4809"/>
    <w:rsid w:val="5DDF748C"/>
    <w:rsid w:val="5DE74641"/>
    <w:rsid w:val="5DE7599B"/>
    <w:rsid w:val="5DEC1FA3"/>
    <w:rsid w:val="5DF045C8"/>
    <w:rsid w:val="5DF352F1"/>
    <w:rsid w:val="5DFD3C7B"/>
    <w:rsid w:val="5DFE7F42"/>
    <w:rsid w:val="5E025946"/>
    <w:rsid w:val="5E082FA9"/>
    <w:rsid w:val="5E101F2F"/>
    <w:rsid w:val="5E117E28"/>
    <w:rsid w:val="5E183C48"/>
    <w:rsid w:val="5E1F30E6"/>
    <w:rsid w:val="5E206F7C"/>
    <w:rsid w:val="5E31207F"/>
    <w:rsid w:val="5E361A94"/>
    <w:rsid w:val="5E3722D6"/>
    <w:rsid w:val="5E3D7A15"/>
    <w:rsid w:val="5E530B18"/>
    <w:rsid w:val="5E5F24A7"/>
    <w:rsid w:val="5E72652A"/>
    <w:rsid w:val="5E86378A"/>
    <w:rsid w:val="5E890A77"/>
    <w:rsid w:val="5E912735"/>
    <w:rsid w:val="5E9531FC"/>
    <w:rsid w:val="5E9D1665"/>
    <w:rsid w:val="5E9D5BF3"/>
    <w:rsid w:val="5EBF762A"/>
    <w:rsid w:val="5ECB03F4"/>
    <w:rsid w:val="5ECD60DE"/>
    <w:rsid w:val="5ED06F62"/>
    <w:rsid w:val="5ED269D9"/>
    <w:rsid w:val="5EE50269"/>
    <w:rsid w:val="5EEF5F14"/>
    <w:rsid w:val="5EF63244"/>
    <w:rsid w:val="5EF63725"/>
    <w:rsid w:val="5EF95024"/>
    <w:rsid w:val="5EF96C3B"/>
    <w:rsid w:val="5F143A04"/>
    <w:rsid w:val="5F214953"/>
    <w:rsid w:val="5F2D59AC"/>
    <w:rsid w:val="5F3645B1"/>
    <w:rsid w:val="5F3C08A1"/>
    <w:rsid w:val="5F470ACA"/>
    <w:rsid w:val="5F537B02"/>
    <w:rsid w:val="5F5871CA"/>
    <w:rsid w:val="5F5958C5"/>
    <w:rsid w:val="5F620890"/>
    <w:rsid w:val="5F645E02"/>
    <w:rsid w:val="5F66607D"/>
    <w:rsid w:val="5F6E36D8"/>
    <w:rsid w:val="5F6F4658"/>
    <w:rsid w:val="5F733254"/>
    <w:rsid w:val="5F763AC8"/>
    <w:rsid w:val="5F8975F1"/>
    <w:rsid w:val="5F8F5CC7"/>
    <w:rsid w:val="5F964AEB"/>
    <w:rsid w:val="5F9B6A6E"/>
    <w:rsid w:val="5FAA1E07"/>
    <w:rsid w:val="5FAF2479"/>
    <w:rsid w:val="5FB039EE"/>
    <w:rsid w:val="5FB30F26"/>
    <w:rsid w:val="5FBB4210"/>
    <w:rsid w:val="5FBC25F5"/>
    <w:rsid w:val="5FC74175"/>
    <w:rsid w:val="5FC92523"/>
    <w:rsid w:val="5FD01489"/>
    <w:rsid w:val="5FD71CAD"/>
    <w:rsid w:val="600728A0"/>
    <w:rsid w:val="600E227E"/>
    <w:rsid w:val="601A09B2"/>
    <w:rsid w:val="60214A6D"/>
    <w:rsid w:val="6028558F"/>
    <w:rsid w:val="602C4FFE"/>
    <w:rsid w:val="60395151"/>
    <w:rsid w:val="603E1A3C"/>
    <w:rsid w:val="604329AC"/>
    <w:rsid w:val="60441443"/>
    <w:rsid w:val="604C314F"/>
    <w:rsid w:val="60520CB9"/>
    <w:rsid w:val="60537BD8"/>
    <w:rsid w:val="60551494"/>
    <w:rsid w:val="6057339B"/>
    <w:rsid w:val="60584A4B"/>
    <w:rsid w:val="606464BC"/>
    <w:rsid w:val="607F2E98"/>
    <w:rsid w:val="60821184"/>
    <w:rsid w:val="6093396E"/>
    <w:rsid w:val="60962A24"/>
    <w:rsid w:val="60983BB4"/>
    <w:rsid w:val="609D45DB"/>
    <w:rsid w:val="609E35C0"/>
    <w:rsid w:val="60A20BA1"/>
    <w:rsid w:val="60A31E16"/>
    <w:rsid w:val="60B32A3E"/>
    <w:rsid w:val="60B66FAA"/>
    <w:rsid w:val="60BB4BAC"/>
    <w:rsid w:val="60BC225E"/>
    <w:rsid w:val="60BE3392"/>
    <w:rsid w:val="60C17A04"/>
    <w:rsid w:val="60C42572"/>
    <w:rsid w:val="60C6125F"/>
    <w:rsid w:val="60C70B82"/>
    <w:rsid w:val="60C81DE0"/>
    <w:rsid w:val="60CF2544"/>
    <w:rsid w:val="60E96AD5"/>
    <w:rsid w:val="60F14D70"/>
    <w:rsid w:val="60F534CB"/>
    <w:rsid w:val="60FF720E"/>
    <w:rsid w:val="6105091C"/>
    <w:rsid w:val="610C071A"/>
    <w:rsid w:val="612C176C"/>
    <w:rsid w:val="612E3B8E"/>
    <w:rsid w:val="61306A6A"/>
    <w:rsid w:val="6132440F"/>
    <w:rsid w:val="61326303"/>
    <w:rsid w:val="61364B79"/>
    <w:rsid w:val="613A23BE"/>
    <w:rsid w:val="613E28C4"/>
    <w:rsid w:val="613F15F2"/>
    <w:rsid w:val="614465C8"/>
    <w:rsid w:val="61556B98"/>
    <w:rsid w:val="615A7526"/>
    <w:rsid w:val="61631AAC"/>
    <w:rsid w:val="61640FDF"/>
    <w:rsid w:val="616563B2"/>
    <w:rsid w:val="616E4256"/>
    <w:rsid w:val="617A6CD6"/>
    <w:rsid w:val="618A34C5"/>
    <w:rsid w:val="618E04AB"/>
    <w:rsid w:val="619D780E"/>
    <w:rsid w:val="61AF7738"/>
    <w:rsid w:val="61C105F7"/>
    <w:rsid w:val="61C35A89"/>
    <w:rsid w:val="61C971F4"/>
    <w:rsid w:val="61D449FC"/>
    <w:rsid w:val="61DF0DDB"/>
    <w:rsid w:val="61E2775E"/>
    <w:rsid w:val="61E47C6F"/>
    <w:rsid w:val="61EA1B2A"/>
    <w:rsid w:val="61F12D25"/>
    <w:rsid w:val="61F32E05"/>
    <w:rsid w:val="620F5EF2"/>
    <w:rsid w:val="62133723"/>
    <w:rsid w:val="621363ED"/>
    <w:rsid w:val="62293B3B"/>
    <w:rsid w:val="62293D79"/>
    <w:rsid w:val="622E3D42"/>
    <w:rsid w:val="624306D2"/>
    <w:rsid w:val="624C101E"/>
    <w:rsid w:val="624E41D6"/>
    <w:rsid w:val="62512C28"/>
    <w:rsid w:val="625C38D1"/>
    <w:rsid w:val="62617088"/>
    <w:rsid w:val="62637014"/>
    <w:rsid w:val="627458C2"/>
    <w:rsid w:val="627D42B8"/>
    <w:rsid w:val="62807BBB"/>
    <w:rsid w:val="62843F54"/>
    <w:rsid w:val="62851027"/>
    <w:rsid w:val="62852070"/>
    <w:rsid w:val="628B26B8"/>
    <w:rsid w:val="62904AA0"/>
    <w:rsid w:val="62925E0E"/>
    <w:rsid w:val="62965D17"/>
    <w:rsid w:val="62A12A48"/>
    <w:rsid w:val="62A65A48"/>
    <w:rsid w:val="62A672F6"/>
    <w:rsid w:val="62A87C23"/>
    <w:rsid w:val="62B16215"/>
    <w:rsid w:val="62B9793C"/>
    <w:rsid w:val="62BA2F5B"/>
    <w:rsid w:val="62CF4148"/>
    <w:rsid w:val="62D879EB"/>
    <w:rsid w:val="62F24599"/>
    <w:rsid w:val="62F66BBE"/>
    <w:rsid w:val="62FA5739"/>
    <w:rsid w:val="62FE437D"/>
    <w:rsid w:val="63077EC4"/>
    <w:rsid w:val="631D0FD5"/>
    <w:rsid w:val="632157C9"/>
    <w:rsid w:val="632A33E6"/>
    <w:rsid w:val="632A44E8"/>
    <w:rsid w:val="63412882"/>
    <w:rsid w:val="634254A2"/>
    <w:rsid w:val="63446CC9"/>
    <w:rsid w:val="63510752"/>
    <w:rsid w:val="63587B7D"/>
    <w:rsid w:val="636C224B"/>
    <w:rsid w:val="63744130"/>
    <w:rsid w:val="63913ED3"/>
    <w:rsid w:val="6396514F"/>
    <w:rsid w:val="6397487A"/>
    <w:rsid w:val="639B656A"/>
    <w:rsid w:val="63AC0974"/>
    <w:rsid w:val="63AE5855"/>
    <w:rsid w:val="63B35014"/>
    <w:rsid w:val="63B9618E"/>
    <w:rsid w:val="63BA51E2"/>
    <w:rsid w:val="63C50CFF"/>
    <w:rsid w:val="63EF34BB"/>
    <w:rsid w:val="63F367A7"/>
    <w:rsid w:val="63FD3595"/>
    <w:rsid w:val="640626EB"/>
    <w:rsid w:val="6411721E"/>
    <w:rsid w:val="6418220A"/>
    <w:rsid w:val="641D663E"/>
    <w:rsid w:val="641F2FD5"/>
    <w:rsid w:val="6425340D"/>
    <w:rsid w:val="64257458"/>
    <w:rsid w:val="642641D0"/>
    <w:rsid w:val="6438426F"/>
    <w:rsid w:val="6440613F"/>
    <w:rsid w:val="64425CF6"/>
    <w:rsid w:val="647D33C9"/>
    <w:rsid w:val="647F0E63"/>
    <w:rsid w:val="647F3D04"/>
    <w:rsid w:val="64877240"/>
    <w:rsid w:val="6496108D"/>
    <w:rsid w:val="64961F47"/>
    <w:rsid w:val="64973DA0"/>
    <w:rsid w:val="649B5DCF"/>
    <w:rsid w:val="64BB2F44"/>
    <w:rsid w:val="64BB5666"/>
    <w:rsid w:val="64C64942"/>
    <w:rsid w:val="64CA3C3F"/>
    <w:rsid w:val="64CE4111"/>
    <w:rsid w:val="64CF526F"/>
    <w:rsid w:val="64DE2DA9"/>
    <w:rsid w:val="64E447D1"/>
    <w:rsid w:val="64E9290C"/>
    <w:rsid w:val="64F042AF"/>
    <w:rsid w:val="64FA1A71"/>
    <w:rsid w:val="64FF1FC1"/>
    <w:rsid w:val="65086391"/>
    <w:rsid w:val="650B1B94"/>
    <w:rsid w:val="651324B1"/>
    <w:rsid w:val="65296460"/>
    <w:rsid w:val="652B112E"/>
    <w:rsid w:val="652C3198"/>
    <w:rsid w:val="652F6D5E"/>
    <w:rsid w:val="65380057"/>
    <w:rsid w:val="653C4E9F"/>
    <w:rsid w:val="653C7693"/>
    <w:rsid w:val="653D1770"/>
    <w:rsid w:val="653E3DE8"/>
    <w:rsid w:val="65490607"/>
    <w:rsid w:val="65546080"/>
    <w:rsid w:val="65597BF2"/>
    <w:rsid w:val="6579677C"/>
    <w:rsid w:val="657B72F2"/>
    <w:rsid w:val="65862BCB"/>
    <w:rsid w:val="65997831"/>
    <w:rsid w:val="659A5033"/>
    <w:rsid w:val="659D6798"/>
    <w:rsid w:val="659F5A8D"/>
    <w:rsid w:val="65A02D53"/>
    <w:rsid w:val="65AE0AA9"/>
    <w:rsid w:val="65B80F43"/>
    <w:rsid w:val="65BF27A6"/>
    <w:rsid w:val="65C30E74"/>
    <w:rsid w:val="65C92096"/>
    <w:rsid w:val="65CD11A0"/>
    <w:rsid w:val="65D96A20"/>
    <w:rsid w:val="65DD33F8"/>
    <w:rsid w:val="65E46F2D"/>
    <w:rsid w:val="65E67C4B"/>
    <w:rsid w:val="65EB762D"/>
    <w:rsid w:val="65F01C52"/>
    <w:rsid w:val="65FF12F3"/>
    <w:rsid w:val="660628F3"/>
    <w:rsid w:val="66157100"/>
    <w:rsid w:val="661920F0"/>
    <w:rsid w:val="661A31AB"/>
    <w:rsid w:val="662230D7"/>
    <w:rsid w:val="6637037C"/>
    <w:rsid w:val="663A0753"/>
    <w:rsid w:val="663A1E4A"/>
    <w:rsid w:val="66440330"/>
    <w:rsid w:val="664932FC"/>
    <w:rsid w:val="664A0750"/>
    <w:rsid w:val="66500CD3"/>
    <w:rsid w:val="66530F67"/>
    <w:rsid w:val="6658459B"/>
    <w:rsid w:val="66622989"/>
    <w:rsid w:val="66662801"/>
    <w:rsid w:val="66732327"/>
    <w:rsid w:val="668A0A43"/>
    <w:rsid w:val="668B7586"/>
    <w:rsid w:val="668C7925"/>
    <w:rsid w:val="669B0B35"/>
    <w:rsid w:val="669D511F"/>
    <w:rsid w:val="66A33293"/>
    <w:rsid w:val="66A55059"/>
    <w:rsid w:val="66A64153"/>
    <w:rsid w:val="66A8639D"/>
    <w:rsid w:val="66B3728A"/>
    <w:rsid w:val="66B471E6"/>
    <w:rsid w:val="66C96801"/>
    <w:rsid w:val="66CB0E08"/>
    <w:rsid w:val="66D17C4C"/>
    <w:rsid w:val="66E50F32"/>
    <w:rsid w:val="66EF2D6F"/>
    <w:rsid w:val="66F2548D"/>
    <w:rsid w:val="66F268E8"/>
    <w:rsid w:val="66F66450"/>
    <w:rsid w:val="66FE1D77"/>
    <w:rsid w:val="67023439"/>
    <w:rsid w:val="670F742A"/>
    <w:rsid w:val="671670BD"/>
    <w:rsid w:val="671A780E"/>
    <w:rsid w:val="671E79AC"/>
    <w:rsid w:val="672472E8"/>
    <w:rsid w:val="672A722E"/>
    <w:rsid w:val="673412B5"/>
    <w:rsid w:val="673D6E7B"/>
    <w:rsid w:val="673E1393"/>
    <w:rsid w:val="6751336F"/>
    <w:rsid w:val="67550A70"/>
    <w:rsid w:val="67664B82"/>
    <w:rsid w:val="676C5AF7"/>
    <w:rsid w:val="67722BC6"/>
    <w:rsid w:val="67821B49"/>
    <w:rsid w:val="67A10C64"/>
    <w:rsid w:val="67A57E95"/>
    <w:rsid w:val="67C01748"/>
    <w:rsid w:val="67C60F80"/>
    <w:rsid w:val="67C65AA4"/>
    <w:rsid w:val="67CA37CC"/>
    <w:rsid w:val="67CE180E"/>
    <w:rsid w:val="67D722A8"/>
    <w:rsid w:val="67DC7AB9"/>
    <w:rsid w:val="67DD235A"/>
    <w:rsid w:val="67DE3BB9"/>
    <w:rsid w:val="67E37F01"/>
    <w:rsid w:val="67E57348"/>
    <w:rsid w:val="680D5908"/>
    <w:rsid w:val="6812550C"/>
    <w:rsid w:val="68151C15"/>
    <w:rsid w:val="681738D5"/>
    <w:rsid w:val="681958F6"/>
    <w:rsid w:val="6821225E"/>
    <w:rsid w:val="682B48EC"/>
    <w:rsid w:val="6839532D"/>
    <w:rsid w:val="683F6AD8"/>
    <w:rsid w:val="68512D40"/>
    <w:rsid w:val="685153EB"/>
    <w:rsid w:val="68595F5F"/>
    <w:rsid w:val="685E3745"/>
    <w:rsid w:val="68623B6F"/>
    <w:rsid w:val="686824B9"/>
    <w:rsid w:val="687611E9"/>
    <w:rsid w:val="68784F56"/>
    <w:rsid w:val="687A20FA"/>
    <w:rsid w:val="687F708F"/>
    <w:rsid w:val="68872E1D"/>
    <w:rsid w:val="688951B2"/>
    <w:rsid w:val="68924418"/>
    <w:rsid w:val="68945003"/>
    <w:rsid w:val="68A0249A"/>
    <w:rsid w:val="68A22732"/>
    <w:rsid w:val="68A90597"/>
    <w:rsid w:val="68A94102"/>
    <w:rsid w:val="68AB3CEC"/>
    <w:rsid w:val="68AF56EB"/>
    <w:rsid w:val="68B24FCE"/>
    <w:rsid w:val="68B425B2"/>
    <w:rsid w:val="68B42E76"/>
    <w:rsid w:val="68B62748"/>
    <w:rsid w:val="68BC585C"/>
    <w:rsid w:val="68C86F51"/>
    <w:rsid w:val="68CC2E73"/>
    <w:rsid w:val="68CF4967"/>
    <w:rsid w:val="68D24428"/>
    <w:rsid w:val="68E051EB"/>
    <w:rsid w:val="68E16180"/>
    <w:rsid w:val="68E61192"/>
    <w:rsid w:val="68EA0D99"/>
    <w:rsid w:val="68EC7CAC"/>
    <w:rsid w:val="68ED146C"/>
    <w:rsid w:val="68ED79DA"/>
    <w:rsid w:val="68FB42C7"/>
    <w:rsid w:val="690448EF"/>
    <w:rsid w:val="691535B8"/>
    <w:rsid w:val="69160B68"/>
    <w:rsid w:val="691B434F"/>
    <w:rsid w:val="694032B4"/>
    <w:rsid w:val="694820E9"/>
    <w:rsid w:val="694A0516"/>
    <w:rsid w:val="694E54E8"/>
    <w:rsid w:val="695011ED"/>
    <w:rsid w:val="69504D35"/>
    <w:rsid w:val="6952256A"/>
    <w:rsid w:val="695E28C1"/>
    <w:rsid w:val="695E477D"/>
    <w:rsid w:val="69686DBD"/>
    <w:rsid w:val="6971572D"/>
    <w:rsid w:val="6972580A"/>
    <w:rsid w:val="6973474C"/>
    <w:rsid w:val="697D0813"/>
    <w:rsid w:val="697E1842"/>
    <w:rsid w:val="69875CAD"/>
    <w:rsid w:val="69895352"/>
    <w:rsid w:val="698D0828"/>
    <w:rsid w:val="698D5282"/>
    <w:rsid w:val="69907265"/>
    <w:rsid w:val="69931EFD"/>
    <w:rsid w:val="69936298"/>
    <w:rsid w:val="69972149"/>
    <w:rsid w:val="699857E6"/>
    <w:rsid w:val="699B5D3A"/>
    <w:rsid w:val="69B71D8F"/>
    <w:rsid w:val="69BA15B1"/>
    <w:rsid w:val="69BA7717"/>
    <w:rsid w:val="69C92588"/>
    <w:rsid w:val="69CA78E8"/>
    <w:rsid w:val="69CB3AFF"/>
    <w:rsid w:val="69D6739C"/>
    <w:rsid w:val="69DA0AF7"/>
    <w:rsid w:val="69DB434B"/>
    <w:rsid w:val="69DD200E"/>
    <w:rsid w:val="69E7185F"/>
    <w:rsid w:val="69EC7B2C"/>
    <w:rsid w:val="69F67EF8"/>
    <w:rsid w:val="6A03368C"/>
    <w:rsid w:val="6A093A08"/>
    <w:rsid w:val="6A1066E7"/>
    <w:rsid w:val="6A107350"/>
    <w:rsid w:val="6A134897"/>
    <w:rsid w:val="6A1366ED"/>
    <w:rsid w:val="6A195F20"/>
    <w:rsid w:val="6A226BCA"/>
    <w:rsid w:val="6A254EF1"/>
    <w:rsid w:val="6A257655"/>
    <w:rsid w:val="6A323663"/>
    <w:rsid w:val="6A3710D5"/>
    <w:rsid w:val="6A3C4145"/>
    <w:rsid w:val="6A3D4D1D"/>
    <w:rsid w:val="6A3E5D0C"/>
    <w:rsid w:val="6A3F36FC"/>
    <w:rsid w:val="6A437C87"/>
    <w:rsid w:val="6A44421F"/>
    <w:rsid w:val="6A4B46B9"/>
    <w:rsid w:val="6A517014"/>
    <w:rsid w:val="6A6368E1"/>
    <w:rsid w:val="6A6418DB"/>
    <w:rsid w:val="6A646357"/>
    <w:rsid w:val="6A6D72E1"/>
    <w:rsid w:val="6A6F28A9"/>
    <w:rsid w:val="6A711158"/>
    <w:rsid w:val="6AA13B0F"/>
    <w:rsid w:val="6AAB08FE"/>
    <w:rsid w:val="6AB5270E"/>
    <w:rsid w:val="6AD21D5B"/>
    <w:rsid w:val="6AD2383B"/>
    <w:rsid w:val="6ADF75EB"/>
    <w:rsid w:val="6AE14A7D"/>
    <w:rsid w:val="6AE63EB4"/>
    <w:rsid w:val="6AE87968"/>
    <w:rsid w:val="6AE9086F"/>
    <w:rsid w:val="6AEB63D9"/>
    <w:rsid w:val="6AED6C0A"/>
    <w:rsid w:val="6AF970CD"/>
    <w:rsid w:val="6AFA7268"/>
    <w:rsid w:val="6AFC5AA5"/>
    <w:rsid w:val="6AFE5B3F"/>
    <w:rsid w:val="6B0618CA"/>
    <w:rsid w:val="6B0A78CC"/>
    <w:rsid w:val="6B0D6E56"/>
    <w:rsid w:val="6B1206A2"/>
    <w:rsid w:val="6B1D297E"/>
    <w:rsid w:val="6B241ECD"/>
    <w:rsid w:val="6B297D97"/>
    <w:rsid w:val="6B2C5F79"/>
    <w:rsid w:val="6B3251DC"/>
    <w:rsid w:val="6B343BA5"/>
    <w:rsid w:val="6B3B470D"/>
    <w:rsid w:val="6B472783"/>
    <w:rsid w:val="6B4813E5"/>
    <w:rsid w:val="6B4C64BE"/>
    <w:rsid w:val="6B523CBF"/>
    <w:rsid w:val="6B527166"/>
    <w:rsid w:val="6B546072"/>
    <w:rsid w:val="6B566EE2"/>
    <w:rsid w:val="6B596811"/>
    <w:rsid w:val="6B625F86"/>
    <w:rsid w:val="6B661274"/>
    <w:rsid w:val="6B694ED3"/>
    <w:rsid w:val="6B6F2255"/>
    <w:rsid w:val="6B722F3A"/>
    <w:rsid w:val="6B7D24D1"/>
    <w:rsid w:val="6B8A5489"/>
    <w:rsid w:val="6B91779B"/>
    <w:rsid w:val="6B943EDA"/>
    <w:rsid w:val="6B990DA7"/>
    <w:rsid w:val="6B9E56B6"/>
    <w:rsid w:val="6B9F1E7C"/>
    <w:rsid w:val="6BB12383"/>
    <w:rsid w:val="6BB234ED"/>
    <w:rsid w:val="6BCC2DE4"/>
    <w:rsid w:val="6BEA1607"/>
    <w:rsid w:val="6BFC1308"/>
    <w:rsid w:val="6C042173"/>
    <w:rsid w:val="6C0667FF"/>
    <w:rsid w:val="6C093F3D"/>
    <w:rsid w:val="6C0A4F1C"/>
    <w:rsid w:val="6C0B15C9"/>
    <w:rsid w:val="6C0F2E1F"/>
    <w:rsid w:val="6C136D16"/>
    <w:rsid w:val="6C1A72E5"/>
    <w:rsid w:val="6C29298E"/>
    <w:rsid w:val="6C303857"/>
    <w:rsid w:val="6C344CBA"/>
    <w:rsid w:val="6C454189"/>
    <w:rsid w:val="6C4C0657"/>
    <w:rsid w:val="6C4E0E81"/>
    <w:rsid w:val="6C540512"/>
    <w:rsid w:val="6C6A0384"/>
    <w:rsid w:val="6C700ACD"/>
    <w:rsid w:val="6C7A0E6F"/>
    <w:rsid w:val="6C820298"/>
    <w:rsid w:val="6C821D37"/>
    <w:rsid w:val="6C8749BB"/>
    <w:rsid w:val="6C8E4331"/>
    <w:rsid w:val="6CA34EF9"/>
    <w:rsid w:val="6CA424E1"/>
    <w:rsid w:val="6CAB76D5"/>
    <w:rsid w:val="6CAF2D2D"/>
    <w:rsid w:val="6CC2414A"/>
    <w:rsid w:val="6CCB76A8"/>
    <w:rsid w:val="6CD053EA"/>
    <w:rsid w:val="6CD36031"/>
    <w:rsid w:val="6CD55816"/>
    <w:rsid w:val="6CDD1F5B"/>
    <w:rsid w:val="6CEF423A"/>
    <w:rsid w:val="6CF07302"/>
    <w:rsid w:val="6CF13976"/>
    <w:rsid w:val="6CF37423"/>
    <w:rsid w:val="6CF72F1B"/>
    <w:rsid w:val="6CFB40A0"/>
    <w:rsid w:val="6D0023BE"/>
    <w:rsid w:val="6D043422"/>
    <w:rsid w:val="6D0E4422"/>
    <w:rsid w:val="6D0F3173"/>
    <w:rsid w:val="6D1C42ED"/>
    <w:rsid w:val="6D255458"/>
    <w:rsid w:val="6D257F8C"/>
    <w:rsid w:val="6D2A149E"/>
    <w:rsid w:val="6D374917"/>
    <w:rsid w:val="6D3A57DC"/>
    <w:rsid w:val="6D3C40BB"/>
    <w:rsid w:val="6D420BB6"/>
    <w:rsid w:val="6D497405"/>
    <w:rsid w:val="6D4F1EC1"/>
    <w:rsid w:val="6D5104CF"/>
    <w:rsid w:val="6D5742F1"/>
    <w:rsid w:val="6D5D2285"/>
    <w:rsid w:val="6D715393"/>
    <w:rsid w:val="6D7363C5"/>
    <w:rsid w:val="6D76046D"/>
    <w:rsid w:val="6D773917"/>
    <w:rsid w:val="6D804B78"/>
    <w:rsid w:val="6D854159"/>
    <w:rsid w:val="6D9973E7"/>
    <w:rsid w:val="6D9C1379"/>
    <w:rsid w:val="6D9D1728"/>
    <w:rsid w:val="6DBF7879"/>
    <w:rsid w:val="6DC00021"/>
    <w:rsid w:val="6DCD5A04"/>
    <w:rsid w:val="6DCF2E01"/>
    <w:rsid w:val="6DD91244"/>
    <w:rsid w:val="6DE0503A"/>
    <w:rsid w:val="6DF469B2"/>
    <w:rsid w:val="6DF862E4"/>
    <w:rsid w:val="6E0036FF"/>
    <w:rsid w:val="6E1E6E08"/>
    <w:rsid w:val="6E32294F"/>
    <w:rsid w:val="6E3D1763"/>
    <w:rsid w:val="6E4F1B88"/>
    <w:rsid w:val="6E542B7A"/>
    <w:rsid w:val="6E551FB6"/>
    <w:rsid w:val="6E6276E6"/>
    <w:rsid w:val="6E6E39DC"/>
    <w:rsid w:val="6E6F5F81"/>
    <w:rsid w:val="6E7F69C7"/>
    <w:rsid w:val="6E810206"/>
    <w:rsid w:val="6E8F03A2"/>
    <w:rsid w:val="6EB30882"/>
    <w:rsid w:val="6EB4570A"/>
    <w:rsid w:val="6EB874E6"/>
    <w:rsid w:val="6EC05C88"/>
    <w:rsid w:val="6ED93A5D"/>
    <w:rsid w:val="6EE64FC0"/>
    <w:rsid w:val="6EEB5267"/>
    <w:rsid w:val="6EF3277C"/>
    <w:rsid w:val="6EF65F86"/>
    <w:rsid w:val="6EF77570"/>
    <w:rsid w:val="6EF8009E"/>
    <w:rsid w:val="6EFA192B"/>
    <w:rsid w:val="6F192970"/>
    <w:rsid w:val="6F1977C3"/>
    <w:rsid w:val="6F244D43"/>
    <w:rsid w:val="6F245444"/>
    <w:rsid w:val="6F2C1406"/>
    <w:rsid w:val="6F2F6194"/>
    <w:rsid w:val="6F376AB8"/>
    <w:rsid w:val="6F476201"/>
    <w:rsid w:val="6F4E59A8"/>
    <w:rsid w:val="6F4F64D3"/>
    <w:rsid w:val="6F5B7782"/>
    <w:rsid w:val="6F5E3FBB"/>
    <w:rsid w:val="6F68675A"/>
    <w:rsid w:val="6F753F23"/>
    <w:rsid w:val="6F886859"/>
    <w:rsid w:val="6F905E96"/>
    <w:rsid w:val="6F9173E8"/>
    <w:rsid w:val="6F936A09"/>
    <w:rsid w:val="6F984C97"/>
    <w:rsid w:val="6F990ADB"/>
    <w:rsid w:val="6F9F2F4B"/>
    <w:rsid w:val="6FB81352"/>
    <w:rsid w:val="6FCB73E4"/>
    <w:rsid w:val="6FCD2137"/>
    <w:rsid w:val="6FCE318D"/>
    <w:rsid w:val="6FCF45A2"/>
    <w:rsid w:val="6FD55DFC"/>
    <w:rsid w:val="6FE57E7D"/>
    <w:rsid w:val="6FE60005"/>
    <w:rsid w:val="6FED2BBA"/>
    <w:rsid w:val="6FEE7359"/>
    <w:rsid w:val="6FF47337"/>
    <w:rsid w:val="7002270B"/>
    <w:rsid w:val="70064377"/>
    <w:rsid w:val="701F12D3"/>
    <w:rsid w:val="702C025F"/>
    <w:rsid w:val="703A2BAF"/>
    <w:rsid w:val="70442737"/>
    <w:rsid w:val="704574FC"/>
    <w:rsid w:val="70470389"/>
    <w:rsid w:val="70496E18"/>
    <w:rsid w:val="70511F57"/>
    <w:rsid w:val="70540D9C"/>
    <w:rsid w:val="705807E1"/>
    <w:rsid w:val="706344F0"/>
    <w:rsid w:val="70741CEC"/>
    <w:rsid w:val="70804A13"/>
    <w:rsid w:val="708535E7"/>
    <w:rsid w:val="708A571D"/>
    <w:rsid w:val="708E001F"/>
    <w:rsid w:val="708F5B2C"/>
    <w:rsid w:val="709B7792"/>
    <w:rsid w:val="70B363CD"/>
    <w:rsid w:val="70B62850"/>
    <w:rsid w:val="70C74C18"/>
    <w:rsid w:val="70CE0513"/>
    <w:rsid w:val="70D00C7C"/>
    <w:rsid w:val="70DC709B"/>
    <w:rsid w:val="70DD44E1"/>
    <w:rsid w:val="70E179DC"/>
    <w:rsid w:val="70E57041"/>
    <w:rsid w:val="70EC502D"/>
    <w:rsid w:val="70FC0E04"/>
    <w:rsid w:val="70FC5139"/>
    <w:rsid w:val="71164D2F"/>
    <w:rsid w:val="711D369F"/>
    <w:rsid w:val="7122001B"/>
    <w:rsid w:val="712806B1"/>
    <w:rsid w:val="7137740E"/>
    <w:rsid w:val="713A2253"/>
    <w:rsid w:val="713B0717"/>
    <w:rsid w:val="713E0F7C"/>
    <w:rsid w:val="71413FD8"/>
    <w:rsid w:val="71445145"/>
    <w:rsid w:val="71477515"/>
    <w:rsid w:val="714959EF"/>
    <w:rsid w:val="715016FB"/>
    <w:rsid w:val="715C4476"/>
    <w:rsid w:val="716522C2"/>
    <w:rsid w:val="71671C93"/>
    <w:rsid w:val="7168634D"/>
    <w:rsid w:val="71885E94"/>
    <w:rsid w:val="71887426"/>
    <w:rsid w:val="718D287A"/>
    <w:rsid w:val="719E5B3F"/>
    <w:rsid w:val="71A25500"/>
    <w:rsid w:val="71AA3754"/>
    <w:rsid w:val="71B04542"/>
    <w:rsid w:val="71BA4144"/>
    <w:rsid w:val="71C53715"/>
    <w:rsid w:val="71CF5600"/>
    <w:rsid w:val="71D2365C"/>
    <w:rsid w:val="71D90429"/>
    <w:rsid w:val="71E96C69"/>
    <w:rsid w:val="71F91EA3"/>
    <w:rsid w:val="72036656"/>
    <w:rsid w:val="720A3725"/>
    <w:rsid w:val="72134151"/>
    <w:rsid w:val="72153A3B"/>
    <w:rsid w:val="72182C96"/>
    <w:rsid w:val="721C376D"/>
    <w:rsid w:val="721F1D4C"/>
    <w:rsid w:val="7221747B"/>
    <w:rsid w:val="72231015"/>
    <w:rsid w:val="72247D30"/>
    <w:rsid w:val="72277B4D"/>
    <w:rsid w:val="722B12B3"/>
    <w:rsid w:val="722C71DA"/>
    <w:rsid w:val="72373BCC"/>
    <w:rsid w:val="72382367"/>
    <w:rsid w:val="72461AF4"/>
    <w:rsid w:val="72532983"/>
    <w:rsid w:val="725A093B"/>
    <w:rsid w:val="725B5B93"/>
    <w:rsid w:val="72612F3E"/>
    <w:rsid w:val="728346C1"/>
    <w:rsid w:val="7291393A"/>
    <w:rsid w:val="729A0FA4"/>
    <w:rsid w:val="729B44B6"/>
    <w:rsid w:val="729B7BF7"/>
    <w:rsid w:val="72A01E08"/>
    <w:rsid w:val="72AE1D62"/>
    <w:rsid w:val="72B36564"/>
    <w:rsid w:val="72B5251F"/>
    <w:rsid w:val="72B7033E"/>
    <w:rsid w:val="72B725F9"/>
    <w:rsid w:val="72B85192"/>
    <w:rsid w:val="72CC5BF6"/>
    <w:rsid w:val="72DA2A06"/>
    <w:rsid w:val="72DB2924"/>
    <w:rsid w:val="72E57B7E"/>
    <w:rsid w:val="72F81EE7"/>
    <w:rsid w:val="72F9648D"/>
    <w:rsid w:val="72FE66C7"/>
    <w:rsid w:val="73016CE5"/>
    <w:rsid w:val="731D1199"/>
    <w:rsid w:val="7324393A"/>
    <w:rsid w:val="73320A1B"/>
    <w:rsid w:val="73391E7C"/>
    <w:rsid w:val="733B6F1B"/>
    <w:rsid w:val="734C4A4A"/>
    <w:rsid w:val="73587836"/>
    <w:rsid w:val="735C1AC8"/>
    <w:rsid w:val="73600A07"/>
    <w:rsid w:val="7366549F"/>
    <w:rsid w:val="7375420D"/>
    <w:rsid w:val="737D61ED"/>
    <w:rsid w:val="737F2662"/>
    <w:rsid w:val="738442BB"/>
    <w:rsid w:val="73941942"/>
    <w:rsid w:val="739A7544"/>
    <w:rsid w:val="73A73BE8"/>
    <w:rsid w:val="73B14E69"/>
    <w:rsid w:val="73B86CD5"/>
    <w:rsid w:val="73CD2510"/>
    <w:rsid w:val="73D3426C"/>
    <w:rsid w:val="73D53520"/>
    <w:rsid w:val="73DB78CA"/>
    <w:rsid w:val="73E83C69"/>
    <w:rsid w:val="73E952A5"/>
    <w:rsid w:val="73F438F3"/>
    <w:rsid w:val="73F673D8"/>
    <w:rsid w:val="73FA4F57"/>
    <w:rsid w:val="73FF52E4"/>
    <w:rsid w:val="740C0AE5"/>
    <w:rsid w:val="742D2512"/>
    <w:rsid w:val="74350682"/>
    <w:rsid w:val="74382526"/>
    <w:rsid w:val="743E349E"/>
    <w:rsid w:val="74433EAB"/>
    <w:rsid w:val="7456387C"/>
    <w:rsid w:val="74577C95"/>
    <w:rsid w:val="74601CA9"/>
    <w:rsid w:val="74610605"/>
    <w:rsid w:val="74615FBD"/>
    <w:rsid w:val="746360CF"/>
    <w:rsid w:val="746A6220"/>
    <w:rsid w:val="746E539C"/>
    <w:rsid w:val="74732119"/>
    <w:rsid w:val="747C5572"/>
    <w:rsid w:val="748B3BF8"/>
    <w:rsid w:val="748C3B3B"/>
    <w:rsid w:val="74973233"/>
    <w:rsid w:val="74981F68"/>
    <w:rsid w:val="74BA6EA9"/>
    <w:rsid w:val="74BE580D"/>
    <w:rsid w:val="74C346CA"/>
    <w:rsid w:val="74CA565F"/>
    <w:rsid w:val="74EA3822"/>
    <w:rsid w:val="74F00FB9"/>
    <w:rsid w:val="74F44D63"/>
    <w:rsid w:val="74F80E00"/>
    <w:rsid w:val="751367EC"/>
    <w:rsid w:val="75312B45"/>
    <w:rsid w:val="753D567B"/>
    <w:rsid w:val="75482763"/>
    <w:rsid w:val="755F7E2B"/>
    <w:rsid w:val="7561307E"/>
    <w:rsid w:val="75626537"/>
    <w:rsid w:val="75764DA7"/>
    <w:rsid w:val="757873A4"/>
    <w:rsid w:val="757F3C1F"/>
    <w:rsid w:val="757F53C6"/>
    <w:rsid w:val="75873276"/>
    <w:rsid w:val="75902612"/>
    <w:rsid w:val="75926EC6"/>
    <w:rsid w:val="759330EC"/>
    <w:rsid w:val="759A7E88"/>
    <w:rsid w:val="759D3B37"/>
    <w:rsid w:val="759E538D"/>
    <w:rsid w:val="75A04DDF"/>
    <w:rsid w:val="75A07383"/>
    <w:rsid w:val="75AE0D58"/>
    <w:rsid w:val="75B65C90"/>
    <w:rsid w:val="75B8126B"/>
    <w:rsid w:val="75BF607D"/>
    <w:rsid w:val="75C04DD7"/>
    <w:rsid w:val="75C06650"/>
    <w:rsid w:val="75E35EC9"/>
    <w:rsid w:val="75E6262F"/>
    <w:rsid w:val="75E91949"/>
    <w:rsid w:val="75EC6A8D"/>
    <w:rsid w:val="75F3277B"/>
    <w:rsid w:val="75F42953"/>
    <w:rsid w:val="762624A4"/>
    <w:rsid w:val="764149C5"/>
    <w:rsid w:val="76537324"/>
    <w:rsid w:val="7656658A"/>
    <w:rsid w:val="76567730"/>
    <w:rsid w:val="7676741B"/>
    <w:rsid w:val="76777102"/>
    <w:rsid w:val="767D7E2B"/>
    <w:rsid w:val="767F7A4C"/>
    <w:rsid w:val="768461D0"/>
    <w:rsid w:val="76863CF6"/>
    <w:rsid w:val="76871C81"/>
    <w:rsid w:val="76953870"/>
    <w:rsid w:val="76966A0A"/>
    <w:rsid w:val="76A029E3"/>
    <w:rsid w:val="76AE64FC"/>
    <w:rsid w:val="76B44D22"/>
    <w:rsid w:val="76BC4453"/>
    <w:rsid w:val="76D22592"/>
    <w:rsid w:val="76DF0F50"/>
    <w:rsid w:val="76E47507"/>
    <w:rsid w:val="76EA3588"/>
    <w:rsid w:val="76EC3CC6"/>
    <w:rsid w:val="76FF21F0"/>
    <w:rsid w:val="770040D7"/>
    <w:rsid w:val="770401A9"/>
    <w:rsid w:val="77132962"/>
    <w:rsid w:val="77147D87"/>
    <w:rsid w:val="77157BF5"/>
    <w:rsid w:val="771772C3"/>
    <w:rsid w:val="77182EFA"/>
    <w:rsid w:val="771C24C4"/>
    <w:rsid w:val="77265821"/>
    <w:rsid w:val="7732798B"/>
    <w:rsid w:val="77383DC5"/>
    <w:rsid w:val="774324BA"/>
    <w:rsid w:val="7745299A"/>
    <w:rsid w:val="77525D79"/>
    <w:rsid w:val="7769278A"/>
    <w:rsid w:val="77724814"/>
    <w:rsid w:val="7787227E"/>
    <w:rsid w:val="778C6D3A"/>
    <w:rsid w:val="77945B1C"/>
    <w:rsid w:val="77962A45"/>
    <w:rsid w:val="779F25EC"/>
    <w:rsid w:val="77A02155"/>
    <w:rsid w:val="77AD5599"/>
    <w:rsid w:val="77B21667"/>
    <w:rsid w:val="77B72F30"/>
    <w:rsid w:val="77CA0AD4"/>
    <w:rsid w:val="77D077A9"/>
    <w:rsid w:val="77D930A8"/>
    <w:rsid w:val="77E95153"/>
    <w:rsid w:val="77F06FC0"/>
    <w:rsid w:val="77FE75E4"/>
    <w:rsid w:val="78075AD2"/>
    <w:rsid w:val="780E067A"/>
    <w:rsid w:val="78100ADE"/>
    <w:rsid w:val="78151BD8"/>
    <w:rsid w:val="78167E4A"/>
    <w:rsid w:val="781718C3"/>
    <w:rsid w:val="781F097F"/>
    <w:rsid w:val="782036E0"/>
    <w:rsid w:val="782F2188"/>
    <w:rsid w:val="78382817"/>
    <w:rsid w:val="78387017"/>
    <w:rsid w:val="783E5C73"/>
    <w:rsid w:val="784539EE"/>
    <w:rsid w:val="78481393"/>
    <w:rsid w:val="78496822"/>
    <w:rsid w:val="784A69E0"/>
    <w:rsid w:val="785141FE"/>
    <w:rsid w:val="785F5104"/>
    <w:rsid w:val="786333EB"/>
    <w:rsid w:val="78733C33"/>
    <w:rsid w:val="78780FB6"/>
    <w:rsid w:val="7878408F"/>
    <w:rsid w:val="787D3F44"/>
    <w:rsid w:val="788C5DAD"/>
    <w:rsid w:val="789650F8"/>
    <w:rsid w:val="78AB7B54"/>
    <w:rsid w:val="78BB5BE5"/>
    <w:rsid w:val="78BF4879"/>
    <w:rsid w:val="78C91678"/>
    <w:rsid w:val="78D404E7"/>
    <w:rsid w:val="78DE4F78"/>
    <w:rsid w:val="79027AB8"/>
    <w:rsid w:val="79043884"/>
    <w:rsid w:val="79043CFD"/>
    <w:rsid w:val="79105588"/>
    <w:rsid w:val="791654E0"/>
    <w:rsid w:val="791D3F31"/>
    <w:rsid w:val="79200C17"/>
    <w:rsid w:val="79263402"/>
    <w:rsid w:val="792C7C4F"/>
    <w:rsid w:val="792E0F80"/>
    <w:rsid w:val="793248FC"/>
    <w:rsid w:val="79332C2A"/>
    <w:rsid w:val="79356250"/>
    <w:rsid w:val="7937319C"/>
    <w:rsid w:val="79522FA3"/>
    <w:rsid w:val="79565A12"/>
    <w:rsid w:val="79611375"/>
    <w:rsid w:val="79670F08"/>
    <w:rsid w:val="79750FE2"/>
    <w:rsid w:val="79771778"/>
    <w:rsid w:val="79796295"/>
    <w:rsid w:val="797E1448"/>
    <w:rsid w:val="79802763"/>
    <w:rsid w:val="79833140"/>
    <w:rsid w:val="79856412"/>
    <w:rsid w:val="79912754"/>
    <w:rsid w:val="799666F2"/>
    <w:rsid w:val="79A64225"/>
    <w:rsid w:val="79AC1AD6"/>
    <w:rsid w:val="79AC7952"/>
    <w:rsid w:val="79B9164D"/>
    <w:rsid w:val="79BE34FD"/>
    <w:rsid w:val="79C3545B"/>
    <w:rsid w:val="79C40FEB"/>
    <w:rsid w:val="79D131D4"/>
    <w:rsid w:val="79D4377E"/>
    <w:rsid w:val="79DD2F18"/>
    <w:rsid w:val="79DE1B74"/>
    <w:rsid w:val="79F3462F"/>
    <w:rsid w:val="79FB40AC"/>
    <w:rsid w:val="7A09492E"/>
    <w:rsid w:val="7A094F9A"/>
    <w:rsid w:val="7A0A1FEC"/>
    <w:rsid w:val="7A1471EE"/>
    <w:rsid w:val="7A1D1CA9"/>
    <w:rsid w:val="7A1E1382"/>
    <w:rsid w:val="7A27136F"/>
    <w:rsid w:val="7A273F59"/>
    <w:rsid w:val="7A330547"/>
    <w:rsid w:val="7A3C77D8"/>
    <w:rsid w:val="7A3D0920"/>
    <w:rsid w:val="7A416C58"/>
    <w:rsid w:val="7A4648F9"/>
    <w:rsid w:val="7A503DD2"/>
    <w:rsid w:val="7A5A2EB7"/>
    <w:rsid w:val="7A6800FB"/>
    <w:rsid w:val="7A860A32"/>
    <w:rsid w:val="7A934CBA"/>
    <w:rsid w:val="7AAC2832"/>
    <w:rsid w:val="7ABD694F"/>
    <w:rsid w:val="7ADA5B0E"/>
    <w:rsid w:val="7ADE36AA"/>
    <w:rsid w:val="7AF101CB"/>
    <w:rsid w:val="7AF42E4A"/>
    <w:rsid w:val="7AF448BB"/>
    <w:rsid w:val="7AF9457E"/>
    <w:rsid w:val="7AFE46F3"/>
    <w:rsid w:val="7B000175"/>
    <w:rsid w:val="7B09387B"/>
    <w:rsid w:val="7B117744"/>
    <w:rsid w:val="7B140714"/>
    <w:rsid w:val="7B18533A"/>
    <w:rsid w:val="7B1A6CC1"/>
    <w:rsid w:val="7B1C2D79"/>
    <w:rsid w:val="7B2461CC"/>
    <w:rsid w:val="7B3C2B5A"/>
    <w:rsid w:val="7B3D6E02"/>
    <w:rsid w:val="7B41560F"/>
    <w:rsid w:val="7B42394C"/>
    <w:rsid w:val="7B4521B2"/>
    <w:rsid w:val="7B45551B"/>
    <w:rsid w:val="7B482B84"/>
    <w:rsid w:val="7B4B6EA8"/>
    <w:rsid w:val="7B4D1967"/>
    <w:rsid w:val="7B580A4A"/>
    <w:rsid w:val="7B594B96"/>
    <w:rsid w:val="7B675FAD"/>
    <w:rsid w:val="7B6C5DF7"/>
    <w:rsid w:val="7B6D7EA7"/>
    <w:rsid w:val="7B762728"/>
    <w:rsid w:val="7B7702EA"/>
    <w:rsid w:val="7B7775D0"/>
    <w:rsid w:val="7B7A4BE9"/>
    <w:rsid w:val="7B821665"/>
    <w:rsid w:val="7B9028CB"/>
    <w:rsid w:val="7B993182"/>
    <w:rsid w:val="7BA069EA"/>
    <w:rsid w:val="7BA24647"/>
    <w:rsid w:val="7BA45FBF"/>
    <w:rsid w:val="7BA509F7"/>
    <w:rsid w:val="7BB3077E"/>
    <w:rsid w:val="7BBD4387"/>
    <w:rsid w:val="7BC2233B"/>
    <w:rsid w:val="7BD37421"/>
    <w:rsid w:val="7BD377E7"/>
    <w:rsid w:val="7BE14D4F"/>
    <w:rsid w:val="7BEB2BA0"/>
    <w:rsid w:val="7BF407BA"/>
    <w:rsid w:val="7BF81438"/>
    <w:rsid w:val="7C0166A5"/>
    <w:rsid w:val="7C03393F"/>
    <w:rsid w:val="7C0371A7"/>
    <w:rsid w:val="7C100E33"/>
    <w:rsid w:val="7C1577FE"/>
    <w:rsid w:val="7C1D0D4A"/>
    <w:rsid w:val="7C1E1E13"/>
    <w:rsid w:val="7C347554"/>
    <w:rsid w:val="7C392747"/>
    <w:rsid w:val="7C3B77A1"/>
    <w:rsid w:val="7C3E6F54"/>
    <w:rsid w:val="7C49089E"/>
    <w:rsid w:val="7C4D3ACE"/>
    <w:rsid w:val="7C4E400B"/>
    <w:rsid w:val="7C6D0E2B"/>
    <w:rsid w:val="7C846571"/>
    <w:rsid w:val="7C88402E"/>
    <w:rsid w:val="7C8A5DE9"/>
    <w:rsid w:val="7C912B24"/>
    <w:rsid w:val="7C955112"/>
    <w:rsid w:val="7C9E2B48"/>
    <w:rsid w:val="7C9F76EC"/>
    <w:rsid w:val="7CA90020"/>
    <w:rsid w:val="7CAF16B7"/>
    <w:rsid w:val="7CB30C03"/>
    <w:rsid w:val="7CB877D1"/>
    <w:rsid w:val="7CBB1BAC"/>
    <w:rsid w:val="7CBD645A"/>
    <w:rsid w:val="7CC74CED"/>
    <w:rsid w:val="7CC83ED1"/>
    <w:rsid w:val="7CCF30A7"/>
    <w:rsid w:val="7CD2395A"/>
    <w:rsid w:val="7CD24BCF"/>
    <w:rsid w:val="7CD621BE"/>
    <w:rsid w:val="7CE52946"/>
    <w:rsid w:val="7CE64064"/>
    <w:rsid w:val="7CED7259"/>
    <w:rsid w:val="7CF20AC0"/>
    <w:rsid w:val="7CF2324D"/>
    <w:rsid w:val="7CFB4A47"/>
    <w:rsid w:val="7D0073A6"/>
    <w:rsid w:val="7D097363"/>
    <w:rsid w:val="7D0C6B57"/>
    <w:rsid w:val="7D111ACA"/>
    <w:rsid w:val="7D1923F7"/>
    <w:rsid w:val="7D1C50AA"/>
    <w:rsid w:val="7D221357"/>
    <w:rsid w:val="7D223E3D"/>
    <w:rsid w:val="7D22426D"/>
    <w:rsid w:val="7D2469E0"/>
    <w:rsid w:val="7D287FF6"/>
    <w:rsid w:val="7D2B5D1B"/>
    <w:rsid w:val="7D382912"/>
    <w:rsid w:val="7D3B1B0D"/>
    <w:rsid w:val="7D3D4D46"/>
    <w:rsid w:val="7D4178D6"/>
    <w:rsid w:val="7D456FFF"/>
    <w:rsid w:val="7D597263"/>
    <w:rsid w:val="7D5A6E9D"/>
    <w:rsid w:val="7D5E0A92"/>
    <w:rsid w:val="7D610F27"/>
    <w:rsid w:val="7D614778"/>
    <w:rsid w:val="7D69322C"/>
    <w:rsid w:val="7D7F462C"/>
    <w:rsid w:val="7D815789"/>
    <w:rsid w:val="7D8203C9"/>
    <w:rsid w:val="7D922E1B"/>
    <w:rsid w:val="7D933D5A"/>
    <w:rsid w:val="7D9678E1"/>
    <w:rsid w:val="7DA8137F"/>
    <w:rsid w:val="7DAA0436"/>
    <w:rsid w:val="7DC03DF4"/>
    <w:rsid w:val="7DC74D83"/>
    <w:rsid w:val="7DC86F95"/>
    <w:rsid w:val="7DCA3DF3"/>
    <w:rsid w:val="7DCF4E78"/>
    <w:rsid w:val="7DCF7C6D"/>
    <w:rsid w:val="7DD8237C"/>
    <w:rsid w:val="7DDC3665"/>
    <w:rsid w:val="7DDE28B0"/>
    <w:rsid w:val="7DDE48B6"/>
    <w:rsid w:val="7DE7740A"/>
    <w:rsid w:val="7DEE50BF"/>
    <w:rsid w:val="7DF0469A"/>
    <w:rsid w:val="7DF25E20"/>
    <w:rsid w:val="7DF72F7D"/>
    <w:rsid w:val="7DF83EEE"/>
    <w:rsid w:val="7DF906EB"/>
    <w:rsid w:val="7E077695"/>
    <w:rsid w:val="7E090E45"/>
    <w:rsid w:val="7E1000DB"/>
    <w:rsid w:val="7E356FDB"/>
    <w:rsid w:val="7E3A4222"/>
    <w:rsid w:val="7E4E4FA1"/>
    <w:rsid w:val="7E515A92"/>
    <w:rsid w:val="7E5E10AA"/>
    <w:rsid w:val="7E602390"/>
    <w:rsid w:val="7E620A05"/>
    <w:rsid w:val="7E624657"/>
    <w:rsid w:val="7E6E045D"/>
    <w:rsid w:val="7E766CE4"/>
    <w:rsid w:val="7E7A3B92"/>
    <w:rsid w:val="7E875EBD"/>
    <w:rsid w:val="7E8B785E"/>
    <w:rsid w:val="7E932BAC"/>
    <w:rsid w:val="7E9C7464"/>
    <w:rsid w:val="7EA233C3"/>
    <w:rsid w:val="7EA37450"/>
    <w:rsid w:val="7EA9152B"/>
    <w:rsid w:val="7EB8603C"/>
    <w:rsid w:val="7ED47B03"/>
    <w:rsid w:val="7EE029F6"/>
    <w:rsid w:val="7EF63A9F"/>
    <w:rsid w:val="7F07330A"/>
    <w:rsid w:val="7F0D7830"/>
    <w:rsid w:val="7F1B7F99"/>
    <w:rsid w:val="7F224F4F"/>
    <w:rsid w:val="7F302C0D"/>
    <w:rsid w:val="7F305B4A"/>
    <w:rsid w:val="7F3663A9"/>
    <w:rsid w:val="7F402177"/>
    <w:rsid w:val="7F4A230A"/>
    <w:rsid w:val="7F4F4223"/>
    <w:rsid w:val="7F564680"/>
    <w:rsid w:val="7F602C68"/>
    <w:rsid w:val="7F6A1102"/>
    <w:rsid w:val="7F6D35FB"/>
    <w:rsid w:val="7F6D655A"/>
    <w:rsid w:val="7F7227CF"/>
    <w:rsid w:val="7F812B4D"/>
    <w:rsid w:val="7F875692"/>
    <w:rsid w:val="7F876539"/>
    <w:rsid w:val="7F891DA1"/>
    <w:rsid w:val="7FBD3F9B"/>
    <w:rsid w:val="7FC01505"/>
    <w:rsid w:val="7FC310E3"/>
    <w:rsid w:val="7FD80B82"/>
    <w:rsid w:val="7FDF6A1E"/>
    <w:rsid w:val="7FEC4294"/>
    <w:rsid w:val="7FF4059B"/>
    <w:rsid w:val="7FF62FA1"/>
    <w:rsid w:val="7FF769A5"/>
    <w:rsid w:val="7FFB58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80" w:lineRule="exact"/>
      <w:ind w:firstLine="560" w:firstLineChars="200"/>
    </w:pPr>
    <w:rPr>
      <w:rFonts w:ascii="Times New Roman" w:hAnsi="Times New Roman" w:eastAsia="仿宋_GB2312" w:cs="黑体"/>
      <w:sz w:val="28"/>
      <w:szCs w:val="22"/>
      <w:lang w:val="en-US" w:eastAsia="zh-CN" w:bidi="ar-SA"/>
    </w:rPr>
  </w:style>
  <w:style w:type="paragraph" w:styleId="3">
    <w:name w:val="heading 1"/>
    <w:basedOn w:val="1"/>
    <w:next w:val="1"/>
    <w:qFormat/>
    <w:uiPriority w:val="0"/>
    <w:pPr>
      <w:keepNext/>
      <w:keepLines/>
      <w:spacing w:line="259" w:lineRule="auto"/>
      <w:ind w:left="168"/>
      <w:jc w:val="center"/>
      <w:outlineLvl w:val="0"/>
    </w:pPr>
    <w:rPr>
      <w:rFonts w:ascii="微软雅黑" w:hAnsi="微软雅黑" w:cs="微软雅黑"/>
      <w:color w:val="000000"/>
      <w:kern w:val="2"/>
      <w:sz w:val="42"/>
    </w:rPr>
  </w:style>
  <w:style w:type="paragraph" w:styleId="4">
    <w:name w:val="heading 2"/>
    <w:basedOn w:val="1"/>
    <w:next w:val="1"/>
    <w:unhideWhenUsed/>
    <w:qFormat/>
    <w:uiPriority w:val="0"/>
    <w:pPr>
      <w:keepLines/>
      <w:spacing w:line="360" w:lineRule="auto"/>
      <w:outlineLvl w:val="1"/>
    </w:pPr>
    <w:rPr>
      <w:rFonts w:ascii="Arial" w:hAnsi="Arial" w:eastAsia="黑体"/>
      <w:b/>
    </w:rPr>
  </w:style>
  <w:style w:type="paragraph" w:styleId="5">
    <w:name w:val="heading 3"/>
    <w:basedOn w:val="1"/>
    <w:next w:val="1"/>
    <w:unhideWhenUsed/>
    <w:qFormat/>
    <w:uiPriority w:val="9"/>
    <w:pPr>
      <w:keepNext/>
      <w:keepLines/>
      <w:adjustRightInd/>
      <w:snapToGrid/>
      <w:spacing w:before="260" w:after="260" w:line="416" w:lineRule="auto"/>
      <w:jc w:val="both"/>
      <w:outlineLvl w:val="2"/>
    </w:pPr>
    <w:rPr>
      <w:rFonts w:ascii="Calibri" w:hAnsi="Calibri" w:eastAsia="宋体"/>
      <w:b/>
      <w:bCs/>
      <w:kern w:val="2"/>
      <w:sz w:val="32"/>
      <w:szCs w:val="32"/>
    </w:rPr>
  </w:style>
  <w:style w:type="paragraph" w:styleId="6">
    <w:name w:val="heading 4"/>
    <w:basedOn w:val="1"/>
    <w:next w:val="1"/>
    <w:semiHidden/>
    <w:unhideWhenUsed/>
    <w:qFormat/>
    <w:uiPriority w:val="0"/>
    <w:pPr>
      <w:keepNext/>
      <w:keepLines/>
      <w:spacing w:line="372" w:lineRule="auto"/>
      <w:outlineLvl w:val="3"/>
    </w:pPr>
    <w:rPr>
      <w:rFonts w:ascii="Arial" w:hAnsi="Arial" w:eastAsia="黑体"/>
      <w:b/>
    </w:rPr>
  </w:style>
  <w:style w:type="paragraph" w:styleId="7">
    <w:name w:val="heading 5"/>
    <w:basedOn w:val="1"/>
    <w:next w:val="1"/>
    <w:unhideWhenUsed/>
    <w:qFormat/>
    <w:uiPriority w:val="0"/>
    <w:pPr>
      <w:keepNext/>
      <w:keepLines/>
      <w:spacing w:line="360" w:lineRule="auto"/>
      <w:outlineLvl w:val="4"/>
    </w:pPr>
    <w:rPr>
      <w:b/>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rFonts w:ascii="Calibri" w:hAnsi="Calibri" w:cs="Calibri"/>
    </w:rPr>
  </w:style>
  <w:style w:type="paragraph" w:styleId="8">
    <w:name w:val="caption"/>
    <w:basedOn w:val="1"/>
    <w:next w:val="1"/>
    <w:semiHidden/>
    <w:unhideWhenUsed/>
    <w:qFormat/>
    <w:uiPriority w:val="0"/>
    <w:rPr>
      <w:rFonts w:ascii="Arial" w:hAnsi="Arial" w:eastAsia="黑体"/>
      <w:sz w:val="20"/>
    </w:rPr>
  </w:style>
  <w:style w:type="paragraph" w:styleId="9">
    <w:name w:val="Document Map"/>
    <w:basedOn w:val="1"/>
    <w:link w:val="43"/>
    <w:qFormat/>
    <w:uiPriority w:val="0"/>
    <w:rPr>
      <w:rFonts w:ascii="宋体" w:eastAsia="宋体"/>
      <w:sz w:val="18"/>
      <w:szCs w:val="18"/>
    </w:rPr>
  </w:style>
  <w:style w:type="paragraph" w:styleId="10">
    <w:name w:val="Body Text"/>
    <w:basedOn w:val="1"/>
    <w:next w:val="1"/>
    <w:qFormat/>
    <w:uiPriority w:val="0"/>
  </w:style>
  <w:style w:type="paragraph" w:styleId="11">
    <w:name w:val="Body Text Indent"/>
    <w:basedOn w:val="1"/>
    <w:unhideWhenUsed/>
    <w:qFormat/>
    <w:uiPriority w:val="0"/>
    <w:pPr>
      <w:spacing w:after="120"/>
      <w:ind w:left="420" w:leftChars="200"/>
    </w:pPr>
    <w:rPr>
      <w:rFonts w:eastAsia="宋体" w:cs="Times New Roman"/>
      <w:szCs w:val="24"/>
    </w:rPr>
  </w:style>
  <w:style w:type="paragraph" w:styleId="12">
    <w:name w:val="toc 3"/>
    <w:basedOn w:val="1"/>
    <w:next w:val="1"/>
    <w:qFormat/>
    <w:uiPriority w:val="39"/>
    <w:pPr>
      <w:ind w:left="840" w:leftChars="400" w:firstLine="0" w:firstLineChars="0"/>
    </w:pPr>
  </w:style>
  <w:style w:type="paragraph" w:styleId="13">
    <w:name w:val="Plain Text"/>
    <w:basedOn w:val="1"/>
    <w:qFormat/>
    <w:uiPriority w:val="0"/>
    <w:rPr>
      <w:rFonts w:ascii="宋体" w:hAnsi="Courier New" w:cs="Courier New"/>
      <w:szCs w:val="21"/>
    </w:rPr>
  </w:style>
  <w:style w:type="paragraph" w:styleId="14">
    <w:name w:val="Balloon Text"/>
    <w:basedOn w:val="1"/>
    <w:link w:val="58"/>
    <w:qFormat/>
    <w:uiPriority w:val="0"/>
    <w:pPr>
      <w:spacing w:line="240" w:lineRule="auto"/>
    </w:pPr>
    <w:rPr>
      <w:sz w:val="18"/>
      <w:szCs w:val="18"/>
    </w:rPr>
  </w:style>
  <w:style w:type="paragraph" w:styleId="15">
    <w:name w:val="footer"/>
    <w:basedOn w:val="1"/>
    <w:qFormat/>
    <w:uiPriority w:val="0"/>
    <w:pPr>
      <w:tabs>
        <w:tab w:val="center" w:pos="4153"/>
        <w:tab w:val="right" w:pos="8306"/>
      </w:tabs>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7">
    <w:name w:val="toc 1"/>
    <w:basedOn w:val="1"/>
    <w:next w:val="1"/>
    <w:qFormat/>
    <w:uiPriority w:val="39"/>
    <w:rPr>
      <w:rFonts w:cs="Times New Roman"/>
    </w:rPr>
  </w:style>
  <w:style w:type="paragraph" w:styleId="18">
    <w:name w:val="footnote text"/>
    <w:basedOn w:val="1"/>
    <w:qFormat/>
    <w:uiPriority w:val="0"/>
    <w:rPr>
      <w:sz w:val="18"/>
    </w:rPr>
  </w:style>
  <w:style w:type="paragraph" w:styleId="19">
    <w:name w:val="toc 2"/>
    <w:basedOn w:val="1"/>
    <w:next w:val="1"/>
    <w:qFormat/>
    <w:uiPriority w:val="39"/>
    <w:pPr>
      <w:ind w:left="420" w:leftChars="200"/>
    </w:pPr>
  </w:style>
  <w:style w:type="paragraph" w:styleId="2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Normal (Web)"/>
    <w:basedOn w:val="1"/>
    <w:qFormat/>
    <w:uiPriority w:val="0"/>
    <w:pPr>
      <w:spacing w:before="100" w:beforeAutospacing="1" w:after="100" w:afterAutospacing="1"/>
    </w:pPr>
    <w:rPr>
      <w:rFonts w:ascii="宋体" w:hAnsi="宋体" w:cs="宋体"/>
      <w:sz w:val="24"/>
    </w:rPr>
  </w:style>
  <w:style w:type="paragraph" w:styleId="22">
    <w:name w:val="Body Text First Indent"/>
    <w:basedOn w:val="10"/>
    <w:qFormat/>
    <w:uiPriority w:val="0"/>
    <w:pPr>
      <w:ind w:firstLine="420" w:firstLineChars="100"/>
    </w:pPr>
  </w:style>
  <w:style w:type="paragraph" w:styleId="23">
    <w:name w:val="Body Text First Indent 2"/>
    <w:basedOn w:val="11"/>
    <w:qFormat/>
    <w:uiPriority w:val="0"/>
    <w:pPr>
      <w:ind w:firstLine="420"/>
    </w:pPr>
    <w:rPr>
      <w:rFonts w:asciiTheme="minorHAnsi" w:hAnsiTheme="minorHAnsi" w:eastAsiaTheme="minorEastAsia" w:cstheme="minorBidi"/>
      <w:szCs w:val="28"/>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style>
  <w:style w:type="character" w:styleId="28">
    <w:name w:val="page number"/>
    <w:basedOn w:val="26"/>
    <w:qFormat/>
    <w:uiPriority w:val="0"/>
  </w:style>
  <w:style w:type="character" w:styleId="29">
    <w:name w:val="FollowedHyperlink"/>
    <w:basedOn w:val="26"/>
    <w:qFormat/>
    <w:uiPriority w:val="0"/>
    <w:rPr>
      <w:color w:val="800080"/>
      <w:u w:val="none"/>
    </w:rPr>
  </w:style>
  <w:style w:type="character" w:styleId="30">
    <w:name w:val="Emphasis"/>
    <w:basedOn w:val="26"/>
    <w:qFormat/>
    <w:uiPriority w:val="0"/>
  </w:style>
  <w:style w:type="character" w:styleId="31">
    <w:name w:val="HTML Definition"/>
    <w:basedOn w:val="26"/>
    <w:qFormat/>
    <w:uiPriority w:val="0"/>
  </w:style>
  <w:style w:type="character" w:styleId="32">
    <w:name w:val="HTML Acronym"/>
    <w:basedOn w:val="26"/>
    <w:qFormat/>
    <w:uiPriority w:val="0"/>
  </w:style>
  <w:style w:type="character" w:styleId="33">
    <w:name w:val="HTML Variable"/>
    <w:basedOn w:val="26"/>
    <w:qFormat/>
    <w:uiPriority w:val="0"/>
  </w:style>
  <w:style w:type="character" w:styleId="34">
    <w:name w:val="Hyperlink"/>
    <w:basedOn w:val="26"/>
    <w:qFormat/>
    <w:uiPriority w:val="99"/>
    <w:rPr>
      <w:color w:val="0000FF"/>
      <w:u w:val="none"/>
    </w:rPr>
  </w:style>
  <w:style w:type="character" w:styleId="35">
    <w:name w:val="HTML Code"/>
    <w:basedOn w:val="26"/>
    <w:qFormat/>
    <w:uiPriority w:val="0"/>
    <w:rPr>
      <w:rFonts w:ascii="Courier New" w:hAnsi="Courier New"/>
      <w:sz w:val="20"/>
    </w:rPr>
  </w:style>
  <w:style w:type="character" w:styleId="36">
    <w:name w:val="HTML Cite"/>
    <w:basedOn w:val="26"/>
    <w:qFormat/>
    <w:uiPriority w:val="0"/>
  </w:style>
  <w:style w:type="character" w:styleId="37">
    <w:name w:val="footnote reference"/>
    <w:basedOn w:val="26"/>
    <w:qFormat/>
    <w:uiPriority w:val="0"/>
    <w:rPr>
      <w:vertAlign w:val="superscript"/>
    </w:rPr>
  </w:style>
  <w:style w:type="paragraph" w:customStyle="1" w:styleId="38">
    <w:name w:val="样式1"/>
    <w:basedOn w:val="1"/>
    <w:qFormat/>
    <w:uiPriority w:val="0"/>
    <w:rPr>
      <w:rFonts w:ascii="宋体" w:hAnsi="Courier New" w:cs="Courier New"/>
      <w:sz w:val="32"/>
      <w:szCs w:val="21"/>
    </w:rPr>
  </w:style>
  <w:style w:type="paragraph" w:customStyle="1" w:styleId="39">
    <w:name w:val="UserStyle_0"/>
    <w:basedOn w:val="1"/>
    <w:qFormat/>
    <w:uiPriority w:val="0"/>
    <w:pPr>
      <w:tabs>
        <w:tab w:val="left" w:pos="840"/>
      </w:tabs>
      <w:jc w:val="both"/>
      <w:textAlignment w:val="baseline"/>
    </w:pPr>
    <w:rPr>
      <w:rFonts w:ascii="Calibri" w:hAnsi="Calibri"/>
      <w:kern w:val="2"/>
      <w:szCs w:val="30"/>
    </w:rPr>
  </w:style>
  <w:style w:type="paragraph" w:customStyle="1" w:styleId="40">
    <w:name w:val="Char"/>
    <w:basedOn w:val="1"/>
    <w:qFormat/>
    <w:uiPriority w:val="0"/>
    <w:pPr>
      <w:numPr>
        <w:ilvl w:val="0"/>
        <w:numId w:val="1"/>
      </w:numPr>
      <w:tabs>
        <w:tab w:val="left" w:pos="907"/>
      </w:tabs>
    </w:pPr>
    <w:rPr>
      <w:szCs w:val="20"/>
    </w:rPr>
  </w:style>
  <w:style w:type="character" w:customStyle="1" w:styleId="41">
    <w:name w:val="NormalCharacter"/>
    <w:semiHidden/>
    <w:qFormat/>
    <w:uiPriority w:val="0"/>
    <w:rPr>
      <w:rFonts w:ascii="Times New Roman" w:hAnsi="Times New Roman" w:eastAsia="仿宋_GB2312" w:cs="黑体"/>
      <w:sz w:val="28"/>
      <w:szCs w:val="22"/>
      <w:lang w:val="en-US" w:eastAsia="zh-CN" w:bidi="ar-SA"/>
    </w:rPr>
  </w:style>
  <w:style w:type="paragraph" w:customStyle="1" w:styleId="42">
    <w:name w:val="BodyText"/>
    <w:basedOn w:val="1"/>
    <w:qFormat/>
    <w:uiPriority w:val="0"/>
    <w:rPr>
      <w:rFonts w:eastAsia="宋体" w:cs="Times New Roman"/>
    </w:rPr>
  </w:style>
  <w:style w:type="character" w:customStyle="1" w:styleId="43">
    <w:name w:val="文档结构图 字符"/>
    <w:basedOn w:val="26"/>
    <w:link w:val="9"/>
    <w:qFormat/>
    <w:uiPriority w:val="0"/>
    <w:rPr>
      <w:rFonts w:ascii="宋体" w:hAnsi="Tahoma" w:cs="黑体"/>
      <w:sz w:val="18"/>
      <w:szCs w:val="18"/>
    </w:rPr>
  </w:style>
  <w:style w:type="paragraph" w:styleId="44">
    <w:name w:val="List Paragraph"/>
    <w:basedOn w:val="1"/>
    <w:qFormat/>
    <w:uiPriority w:val="34"/>
    <w:pPr>
      <w:ind w:firstLine="420"/>
    </w:pPr>
  </w:style>
  <w:style w:type="character" w:customStyle="1" w:styleId="45">
    <w:name w:val="tag2"/>
    <w:basedOn w:val="26"/>
    <w:qFormat/>
    <w:uiPriority w:val="0"/>
    <w:rPr>
      <w:rFonts w:ascii="微软雅黑" w:hAnsi="微软雅黑" w:eastAsia="微软雅黑" w:cs="微软雅黑"/>
      <w:color w:val="999999"/>
      <w:sz w:val="14"/>
      <w:szCs w:val="14"/>
      <w:u w:val="none"/>
    </w:rPr>
  </w:style>
  <w:style w:type="character" w:customStyle="1" w:styleId="46">
    <w:name w:val="tag3"/>
    <w:basedOn w:val="26"/>
    <w:qFormat/>
    <w:uiPriority w:val="0"/>
    <w:rPr>
      <w:rFonts w:ascii="黑体" w:hAnsi="宋体" w:eastAsia="黑体" w:cs="黑体"/>
      <w:color w:val="888888"/>
      <w:sz w:val="14"/>
      <w:szCs w:val="14"/>
    </w:rPr>
  </w:style>
  <w:style w:type="character" w:customStyle="1" w:styleId="47">
    <w:name w:val="tag1"/>
    <w:basedOn w:val="26"/>
    <w:qFormat/>
    <w:uiPriority w:val="0"/>
    <w:rPr>
      <w:rFonts w:hint="eastAsia" w:ascii="微软雅黑" w:hAnsi="微软雅黑" w:eastAsia="微软雅黑" w:cs="微软雅黑"/>
      <w:color w:val="D04526"/>
      <w:sz w:val="14"/>
      <w:szCs w:val="14"/>
      <w:u w:val="none"/>
      <w:bdr w:val="single" w:color="D04526" w:sz="4" w:space="0"/>
    </w:rPr>
  </w:style>
  <w:style w:type="character" w:customStyle="1" w:styleId="48">
    <w:name w:val="tag11"/>
    <w:basedOn w:val="26"/>
    <w:qFormat/>
    <w:uiPriority w:val="0"/>
    <w:rPr>
      <w:rFonts w:hint="eastAsia" w:ascii="微软雅黑" w:hAnsi="微软雅黑" w:eastAsia="微软雅黑" w:cs="微软雅黑"/>
      <w:b/>
      <w:color w:val="B62D21"/>
      <w:sz w:val="19"/>
      <w:szCs w:val="19"/>
      <w:u w:val="none"/>
    </w:rPr>
  </w:style>
  <w:style w:type="character" w:customStyle="1" w:styleId="49">
    <w:name w:val="internet"/>
    <w:basedOn w:val="26"/>
    <w:qFormat/>
    <w:uiPriority w:val="0"/>
    <w:rPr>
      <w:rFonts w:hint="eastAsia" w:ascii="微软雅黑" w:hAnsi="微软雅黑" w:eastAsia="微软雅黑" w:cs="微软雅黑"/>
      <w:color w:val="1B4E92"/>
      <w:sz w:val="14"/>
      <w:szCs w:val="14"/>
      <w:u w:val="none"/>
    </w:rPr>
  </w:style>
  <w:style w:type="character" w:customStyle="1" w:styleId="50">
    <w:name w:val="share_box"/>
    <w:basedOn w:val="26"/>
    <w:qFormat/>
    <w:uiPriority w:val="0"/>
    <w:rPr>
      <w:rFonts w:hint="eastAsia" w:ascii="黑体" w:hAnsi="宋体" w:eastAsia="黑体" w:cs="黑体"/>
      <w:color w:val="000000"/>
      <w:sz w:val="14"/>
      <w:szCs w:val="14"/>
    </w:rPr>
  </w:style>
  <w:style w:type="character" w:customStyle="1" w:styleId="51">
    <w:name w:val="num_a"/>
    <w:basedOn w:val="26"/>
    <w:qFormat/>
    <w:uiPriority w:val="0"/>
    <w:rPr>
      <w:color w:val="FF0000"/>
      <w:sz w:val="28"/>
      <w:szCs w:val="28"/>
    </w:rPr>
  </w:style>
  <w:style w:type="character" w:customStyle="1" w:styleId="52">
    <w:name w:val="num_c"/>
    <w:basedOn w:val="26"/>
    <w:qFormat/>
    <w:uiPriority w:val="0"/>
    <w:rPr>
      <w:color w:val="666666"/>
    </w:rPr>
  </w:style>
  <w:style w:type="character" w:customStyle="1" w:styleId="53">
    <w:name w:val="num_b"/>
    <w:basedOn w:val="26"/>
    <w:qFormat/>
    <w:uiPriority w:val="0"/>
    <w:rPr>
      <w:color w:val="AAAAAA"/>
    </w:rPr>
  </w:style>
  <w:style w:type="character" w:customStyle="1" w:styleId="54">
    <w:name w:val="tag21"/>
    <w:basedOn w:val="26"/>
    <w:qFormat/>
    <w:uiPriority w:val="0"/>
    <w:rPr>
      <w:rFonts w:hint="eastAsia" w:ascii="微软雅黑" w:hAnsi="微软雅黑" w:eastAsia="微软雅黑" w:cs="微软雅黑"/>
      <w:color w:val="999999"/>
      <w:sz w:val="14"/>
      <w:szCs w:val="14"/>
      <w:u w:val="none"/>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8">
    <w:name w:val="批注框文本 字符"/>
    <w:basedOn w:val="26"/>
    <w:link w:val="14"/>
    <w:qFormat/>
    <w:uiPriority w:val="0"/>
    <w:rPr>
      <w:rFonts w:ascii="Tahoma" w:hAnsi="Tahoma" w:eastAsia="仿宋_GB2312" w:cs="黑体"/>
      <w:sz w:val="18"/>
      <w:szCs w:val="18"/>
    </w:rPr>
  </w:style>
  <w:style w:type="character" w:customStyle="1" w:styleId="59">
    <w:name w:val="origin"/>
    <w:basedOn w:val="26"/>
    <w:qFormat/>
    <w:uiPriority w:val="0"/>
  </w:style>
  <w:style w:type="character" w:customStyle="1" w:styleId="60">
    <w:name w:val="search-kw"/>
    <w:basedOn w:val="26"/>
    <w:qFormat/>
    <w:uiPriority w:val="0"/>
  </w:style>
  <w:style w:type="character" w:customStyle="1" w:styleId="61">
    <w:name w:val="before3"/>
    <w:basedOn w:val="26"/>
    <w:qFormat/>
    <w:uiPriority w:val="0"/>
  </w:style>
  <w:style w:type="character" w:customStyle="1" w:styleId="62">
    <w:name w:val="lb-left"/>
    <w:basedOn w:val="26"/>
    <w:qFormat/>
    <w:uiPriority w:val="0"/>
  </w:style>
  <w:style w:type="character" w:customStyle="1" w:styleId="63">
    <w:name w:val="tj"/>
    <w:basedOn w:val="26"/>
    <w:qFormat/>
    <w:uiPriority w:val="0"/>
    <w:rPr>
      <w:color w:val="FFFFFF"/>
      <w:sz w:val="16"/>
      <w:szCs w:val="16"/>
      <w:shd w:val="clear" w:color="auto" w:fill="348CEC"/>
    </w:rPr>
  </w:style>
  <w:style w:type="character" w:customStyle="1" w:styleId="64">
    <w:name w:val="lb-right"/>
    <w:basedOn w:val="26"/>
    <w:qFormat/>
    <w:uiPriority w:val="0"/>
  </w:style>
  <w:style w:type="character" w:customStyle="1" w:styleId="65">
    <w:name w:val="hover6"/>
    <w:basedOn w:val="26"/>
    <w:qFormat/>
    <w:uiPriority w:val="0"/>
  </w:style>
  <w:style w:type="character" w:customStyle="1" w:styleId="66">
    <w:name w:val="hover7"/>
    <w:basedOn w:val="26"/>
    <w:qFormat/>
    <w:uiPriority w:val="0"/>
  </w:style>
  <w:style w:type="character" w:customStyle="1" w:styleId="67">
    <w:name w:val="current"/>
    <w:basedOn w:val="26"/>
    <w:qFormat/>
    <w:uiPriority w:val="0"/>
    <w:rPr>
      <w:shd w:val="clear" w:color="auto" w:fill="D43334"/>
    </w:rPr>
  </w:style>
  <w:style w:type="character" w:customStyle="1" w:styleId="68">
    <w:name w:val="on"/>
    <w:basedOn w:val="26"/>
    <w:qFormat/>
    <w:uiPriority w:val="0"/>
  </w:style>
  <w:style w:type="paragraph" w:customStyle="1" w:styleId="69">
    <w:name w:val="p0"/>
    <w:basedOn w:val="1"/>
    <w:qFormat/>
    <w:uiPriority w:val="0"/>
    <w:pPr>
      <w:widowControl/>
      <w:spacing w:line="365" w:lineRule="atLeast"/>
      <w:ind w:left="1"/>
    </w:pPr>
    <w:rPr>
      <w:sz w:val="20"/>
      <w:szCs w:val="20"/>
    </w:rPr>
  </w:style>
  <w:style w:type="character" w:customStyle="1" w:styleId="70">
    <w:name w:val="hover11"/>
    <w:basedOn w:val="26"/>
    <w:qFormat/>
    <w:uiPriority w:val="0"/>
    <w:rPr>
      <w:color w:val="CB1C1D"/>
    </w:rPr>
  </w:style>
  <w:style w:type="character" w:customStyle="1" w:styleId="71">
    <w:name w:val="hover12"/>
    <w:basedOn w:val="26"/>
    <w:qFormat/>
    <w:uiPriority w:val="0"/>
    <w:rPr>
      <w:u w:val="single"/>
    </w:rPr>
  </w:style>
  <w:style w:type="paragraph" w:customStyle="1" w:styleId="72">
    <w:name w:val="_Style 63"/>
    <w:basedOn w:val="1"/>
    <w:next w:val="1"/>
    <w:qFormat/>
    <w:uiPriority w:val="0"/>
    <w:pPr>
      <w:pBdr>
        <w:bottom w:val="single" w:color="auto" w:sz="6" w:space="1"/>
      </w:pBdr>
      <w:jc w:val="center"/>
    </w:pPr>
    <w:rPr>
      <w:rFonts w:ascii="Arial" w:eastAsia="宋体"/>
      <w:vanish/>
      <w:sz w:val="16"/>
    </w:rPr>
  </w:style>
  <w:style w:type="paragraph" w:customStyle="1" w:styleId="73">
    <w:name w:val="_Style 64"/>
    <w:basedOn w:val="1"/>
    <w:next w:val="1"/>
    <w:qFormat/>
    <w:uiPriority w:val="0"/>
    <w:pPr>
      <w:pBdr>
        <w:top w:val="single" w:color="auto" w:sz="6" w:space="1"/>
      </w:pBdr>
      <w:jc w:val="center"/>
    </w:pPr>
    <w:rPr>
      <w:rFonts w:ascii="Arial" w:eastAsia="宋体"/>
      <w:vanish/>
      <w:sz w:val="16"/>
    </w:rPr>
  </w:style>
  <w:style w:type="paragraph" w:customStyle="1" w:styleId="74">
    <w:name w:val="正文1"/>
    <w:qFormat/>
    <w:uiPriority w:val="99"/>
    <w:pPr>
      <w:spacing w:line="454" w:lineRule="atLeast"/>
      <w:ind w:left="1" w:firstLine="419"/>
      <w:jc w:val="both"/>
      <w:textAlignment w:val="bottom"/>
    </w:pPr>
    <w:rPr>
      <w:rFonts w:ascii="Calibri" w:hAnsi="Calibri" w:eastAsia="宋体" w:cs="Times New Roman"/>
      <w:spacing w:val="5"/>
      <w:sz w:val="32"/>
      <w:szCs w:val="22"/>
      <w:lang w:val="en-US" w:eastAsia="zh-CN" w:bidi="ar-SA"/>
    </w:rPr>
  </w:style>
  <w:style w:type="paragraph" w:customStyle="1" w:styleId="75">
    <w:name w:val="p16"/>
    <w:basedOn w:val="1"/>
    <w:qFormat/>
    <w:uiPriority w:val="0"/>
    <w:pPr>
      <w:widowControl/>
      <w:adjustRightInd/>
      <w:snapToGrid/>
      <w:spacing w:before="100" w:after="100" w:line="240" w:lineRule="auto"/>
      <w:ind w:firstLine="0" w:firstLineChars="0"/>
    </w:pPr>
    <w:rPr>
      <w:rFonts w:ascii="Calibri" w:hAnsi="Calibri" w:eastAsia="宋体" w:cs="宋体"/>
      <w:sz w:val="24"/>
      <w:szCs w:val="24"/>
    </w:rPr>
  </w:style>
  <w:style w:type="paragraph" w:customStyle="1" w:styleId="76">
    <w:name w:val="正文文本样式"/>
    <w:basedOn w:val="1"/>
    <w:qFormat/>
    <w:uiPriority w:val="0"/>
    <w:pPr>
      <w:tabs>
        <w:tab w:val="left" w:pos="0"/>
      </w:tabs>
      <w:spacing w:line="560" w:lineRule="atLeast"/>
      <w:ind w:firstLine="640"/>
    </w:pPr>
    <w:rPr>
      <w:rFonts w:ascii="Calibri" w:hAnsi="Calibri" w:cs="Times New Roman"/>
      <w:sz w:val="32"/>
      <w:szCs w:val="32"/>
    </w:rPr>
  </w:style>
  <w:style w:type="character" w:customStyle="1" w:styleId="77">
    <w:name w:val="fontstyle01"/>
    <w:basedOn w:val="26"/>
    <w:qFormat/>
    <w:uiPriority w:val="0"/>
    <w:rPr>
      <w:rFonts w:hint="eastAsia" w:ascii="仿宋_GB2312" w:hAnsi="仿宋_GB2312" w:eastAsia="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52731</Words>
  <Characters>54566</Characters>
  <Lines>376</Lines>
  <Paragraphs>106</Paragraphs>
  <TotalTime>7</TotalTime>
  <ScaleCrop>false</ScaleCrop>
  <LinksUpToDate>false</LinksUpToDate>
  <CharactersWithSpaces>56829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2020-05-11T07:33:00Z</dcterms:created>
  <dc:creator>长河皓月</dc:creator>
  <cp:lastModifiedBy>长河皓月</cp:lastModifiedBy>
  <cp:lastPrinted>2021-02-16T02:14:00Z</cp:lastPrinted>
  <dcterms:modified xsi:type="dcterms:W3CDTF">2021-08-19T08:32:20Z</dcterms:modified>
  <cp:revision>265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338E4D0AE1F74B678D2A1B860CF043BB</vt:lpwstr>
  </property>
</Properties>
</file>