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Autospacing="0" w:line="576" w:lineRule="exact"/>
        <w:ind w:right="0"/>
        <w:textAlignment w:val="auto"/>
        <w:rPr>
          <w:rFonts w:hint="eastAsia" w:ascii="黑体" w:hAnsi="黑体" w:eastAsia="黑体" w:cs="黑体"/>
          <w:b w:val="0"/>
          <w:bCs w:val="0"/>
          <w:i w:val="0"/>
          <w:iCs w:val="0"/>
          <w:caps w:val="0"/>
          <w:color w:val="auto"/>
          <w:spacing w:val="0"/>
          <w:sz w:val="32"/>
          <w:szCs w:val="32"/>
          <w:shd w:val="clear" w:color="auto" w:fill="auto"/>
        </w:rPr>
      </w:pPr>
      <w:r>
        <w:rPr>
          <w:rFonts w:hint="eastAsia" w:ascii="黑体" w:hAnsi="黑体" w:eastAsia="黑体" w:cs="黑体"/>
          <w:b w:val="0"/>
          <w:bCs w:val="0"/>
          <w:i w:val="0"/>
          <w:iCs w:val="0"/>
          <w:caps w:val="0"/>
          <w:color w:val="auto"/>
          <w:spacing w:val="0"/>
          <w:sz w:val="32"/>
          <w:szCs w:val="32"/>
          <w:shd w:val="clear" w:color="auto" w:fill="auto"/>
        </w:rPr>
        <w:t>附件</w:t>
      </w:r>
    </w:p>
    <w:p>
      <w:pPr>
        <w:pStyle w:val="3"/>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Autospacing="0" w:line="576"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color="auto" w:fill="auto"/>
          <w:lang w:val="en-US" w:eastAsia="zh-CN"/>
        </w:rPr>
      </w:pPr>
      <w:bookmarkStart w:id="0" w:name="_GoBack"/>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auto"/>
          <w:lang w:val="en-US" w:eastAsia="zh-CN"/>
        </w:rPr>
        <w:t>神木市新建公共停车位任务分解表</w:t>
      </w:r>
    </w:p>
    <w:bookmarkEnd w:id="0"/>
    <w:p>
      <w:pPr>
        <w:pStyle w:val="3"/>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3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i w:val="0"/>
          <w:iCs w:val="0"/>
          <w:caps w:val="0"/>
          <w:color w:val="auto"/>
          <w:spacing w:val="0"/>
          <w:sz w:val="44"/>
          <w:szCs w:val="44"/>
          <w:shd w:val="clear" w:color="auto" w:fill="auto"/>
          <w:lang w:val="en-US" w:eastAsia="zh-CN"/>
        </w:rPr>
      </w:pPr>
    </w:p>
    <w:tbl>
      <w:tblPr>
        <w:tblStyle w:val="4"/>
        <w:tblW w:w="96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7"/>
        <w:gridCol w:w="1010"/>
        <w:gridCol w:w="4360"/>
        <w:gridCol w:w="1235"/>
        <w:gridCol w:w="1216"/>
        <w:gridCol w:w="1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b/>
                <w:bCs/>
                <w:color w:val="auto"/>
                <w:kern w:val="0"/>
                <w:sz w:val="28"/>
                <w:szCs w:val="28"/>
                <w:shd w:val="clear" w:color="auto" w:fill="auto"/>
                <w:lang w:val="en-US" w:eastAsia="zh-CN"/>
              </w:rPr>
            </w:pPr>
            <w:r>
              <w:rPr>
                <w:rFonts w:hint="eastAsia" w:ascii="仿宋_GB2312" w:hAnsi="仿宋_GB2312" w:eastAsia="仿宋_GB2312" w:cs="仿宋_GB2312"/>
                <w:b/>
                <w:bCs/>
                <w:color w:val="auto"/>
                <w:kern w:val="0"/>
                <w:sz w:val="28"/>
                <w:szCs w:val="28"/>
                <w:shd w:val="clear" w:color="auto" w:fill="auto"/>
                <w:lang w:val="en-US" w:eastAsia="zh-CN"/>
              </w:rPr>
              <w:t>序号</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b/>
                <w:bCs/>
                <w:color w:val="auto"/>
                <w:kern w:val="0"/>
                <w:sz w:val="28"/>
                <w:szCs w:val="28"/>
                <w:shd w:val="clear" w:color="auto" w:fill="auto"/>
                <w:lang w:val="en-US" w:eastAsia="zh-CN"/>
              </w:rPr>
            </w:pPr>
            <w:r>
              <w:rPr>
                <w:rFonts w:hint="eastAsia" w:ascii="仿宋_GB2312" w:hAnsi="仿宋_GB2312" w:eastAsia="仿宋_GB2312" w:cs="仿宋_GB2312"/>
                <w:b/>
                <w:bCs/>
                <w:color w:val="auto"/>
                <w:kern w:val="0"/>
                <w:sz w:val="28"/>
                <w:szCs w:val="28"/>
                <w:shd w:val="clear" w:color="auto" w:fill="auto"/>
                <w:lang w:val="en-US" w:eastAsia="zh-CN"/>
              </w:rPr>
              <w:t>责任</w:t>
            </w:r>
          </w:p>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b/>
                <w:bCs/>
                <w:color w:val="auto"/>
                <w:kern w:val="0"/>
                <w:sz w:val="28"/>
                <w:szCs w:val="28"/>
                <w:shd w:val="clear" w:color="auto" w:fill="auto"/>
                <w:lang w:val="en-US" w:eastAsia="zh-CN"/>
              </w:rPr>
            </w:pPr>
            <w:r>
              <w:rPr>
                <w:rFonts w:hint="eastAsia" w:ascii="仿宋_GB2312" w:hAnsi="仿宋_GB2312" w:eastAsia="仿宋_GB2312" w:cs="仿宋_GB2312"/>
                <w:b/>
                <w:bCs/>
                <w:color w:val="auto"/>
                <w:kern w:val="0"/>
                <w:sz w:val="28"/>
                <w:szCs w:val="28"/>
                <w:shd w:val="clear" w:color="auto" w:fill="auto"/>
                <w:lang w:val="en-US" w:eastAsia="zh-CN"/>
              </w:rPr>
              <w:t>单位</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b/>
                <w:bCs/>
                <w:color w:val="auto"/>
                <w:kern w:val="0"/>
                <w:sz w:val="28"/>
                <w:szCs w:val="28"/>
                <w:shd w:val="clear" w:color="auto" w:fill="auto"/>
                <w:lang w:val="en-US" w:eastAsia="zh-CN"/>
              </w:rPr>
            </w:pPr>
            <w:r>
              <w:rPr>
                <w:rFonts w:hint="eastAsia" w:ascii="仿宋_GB2312" w:hAnsi="仿宋_GB2312" w:eastAsia="仿宋_GB2312" w:cs="仿宋_GB2312"/>
                <w:b/>
                <w:bCs/>
                <w:color w:val="auto"/>
                <w:kern w:val="0"/>
                <w:sz w:val="28"/>
                <w:szCs w:val="28"/>
                <w:shd w:val="clear" w:color="auto" w:fill="auto"/>
                <w:lang w:val="en-US" w:eastAsia="zh-CN"/>
              </w:rPr>
              <w:t>重点任务</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b/>
                <w:bCs/>
                <w:color w:val="auto"/>
                <w:kern w:val="0"/>
                <w:sz w:val="28"/>
                <w:szCs w:val="28"/>
                <w:shd w:val="clear" w:color="auto" w:fill="auto"/>
                <w:lang w:val="en-US" w:eastAsia="zh-CN"/>
              </w:rPr>
            </w:pPr>
            <w:r>
              <w:rPr>
                <w:rFonts w:hint="eastAsia" w:ascii="仿宋_GB2312" w:hAnsi="仿宋_GB2312" w:eastAsia="仿宋_GB2312" w:cs="仿宋_GB2312"/>
                <w:b/>
                <w:bCs/>
                <w:color w:val="auto"/>
                <w:kern w:val="0"/>
                <w:sz w:val="28"/>
                <w:szCs w:val="28"/>
                <w:shd w:val="clear" w:color="auto" w:fill="auto"/>
                <w:lang w:val="en-US" w:eastAsia="zh-CN"/>
              </w:rPr>
              <w:t>2022年增加车位数量（个）</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b/>
                <w:bCs/>
                <w:color w:val="auto"/>
                <w:kern w:val="0"/>
                <w:sz w:val="28"/>
                <w:szCs w:val="28"/>
                <w:shd w:val="clear" w:color="auto" w:fill="auto"/>
                <w:lang w:val="en-US" w:eastAsia="zh-CN"/>
              </w:rPr>
            </w:pPr>
            <w:r>
              <w:rPr>
                <w:rFonts w:hint="eastAsia" w:ascii="仿宋_GB2312" w:hAnsi="仿宋_GB2312" w:eastAsia="仿宋_GB2312" w:cs="仿宋_GB2312"/>
                <w:b/>
                <w:bCs/>
                <w:color w:val="auto"/>
                <w:kern w:val="0"/>
                <w:sz w:val="28"/>
                <w:szCs w:val="28"/>
                <w:shd w:val="clear" w:color="auto" w:fill="auto"/>
                <w:lang w:val="en-US" w:eastAsia="zh-CN"/>
              </w:rPr>
              <w:t>2023年增加车位数量（个）</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b/>
                <w:bCs/>
                <w:color w:val="auto"/>
                <w:kern w:val="0"/>
                <w:sz w:val="28"/>
                <w:szCs w:val="28"/>
                <w:shd w:val="clear" w:color="auto" w:fill="auto"/>
                <w:lang w:val="en-US" w:eastAsia="zh-CN"/>
              </w:rPr>
            </w:pPr>
            <w:r>
              <w:rPr>
                <w:rFonts w:hint="eastAsia" w:ascii="仿宋_GB2312" w:hAnsi="仿宋_GB2312" w:eastAsia="仿宋_GB2312" w:cs="仿宋_GB2312"/>
                <w:b/>
                <w:bCs/>
                <w:color w:val="auto"/>
                <w:kern w:val="0"/>
                <w:sz w:val="28"/>
                <w:szCs w:val="28"/>
                <w:shd w:val="clear" w:color="auto" w:fill="auto"/>
                <w:lang w:val="en-US" w:eastAsia="zh-CN"/>
              </w:rPr>
              <w:t>2024年增加车位数量（个）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kern w:val="0"/>
                <w:sz w:val="28"/>
                <w:szCs w:val="28"/>
                <w:shd w:val="clear" w:color="auto" w:fill="auto"/>
                <w:lang w:val="en-US" w:eastAsia="zh-CN"/>
              </w:rPr>
              <w:t>1</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kern w:val="0"/>
                <w:sz w:val="28"/>
                <w:szCs w:val="28"/>
                <w:shd w:val="clear" w:color="auto" w:fill="auto"/>
                <w:lang w:val="en-US" w:eastAsia="zh-CN"/>
              </w:rPr>
              <w:t>市自然</w:t>
            </w:r>
          </w:p>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2"/>
                <w:sz w:val="28"/>
                <w:szCs w:val="28"/>
                <w:shd w:val="clear" w:color="auto" w:fill="auto"/>
                <w:lang w:val="en-US" w:eastAsia="zh-CN" w:bidi="ar-SA"/>
              </w:rPr>
            </w:pPr>
            <w:r>
              <w:rPr>
                <w:rFonts w:hint="eastAsia" w:ascii="仿宋_GB2312" w:hAnsi="仿宋_GB2312" w:eastAsia="仿宋_GB2312" w:cs="仿宋_GB2312"/>
                <w:color w:val="auto"/>
                <w:kern w:val="0"/>
                <w:sz w:val="28"/>
                <w:szCs w:val="28"/>
                <w:shd w:val="clear" w:color="auto" w:fill="auto"/>
                <w:lang w:val="en-US" w:eastAsia="zh-CN"/>
              </w:rPr>
              <w:t>资源局</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left"/>
              <w:textAlignment w:val="auto"/>
              <w:outlineLvl w:val="9"/>
              <w:rPr>
                <w:rFonts w:hint="eastAsia" w:ascii="仿宋_GB2312" w:hAnsi="仿宋_GB2312" w:eastAsia="仿宋_GB2312" w:cs="仿宋_GB2312"/>
                <w:color w:val="auto"/>
                <w:kern w:val="2"/>
                <w:sz w:val="28"/>
                <w:szCs w:val="28"/>
                <w:shd w:val="clear" w:color="auto" w:fill="auto"/>
                <w:lang w:val="en-US" w:eastAsia="zh-CN" w:bidi="ar-SA"/>
              </w:rPr>
            </w:pPr>
            <w:r>
              <w:rPr>
                <w:rFonts w:hint="eastAsia" w:ascii="仿宋_GB2312" w:hAnsi="仿宋_GB2312" w:eastAsia="仿宋_GB2312" w:cs="仿宋_GB2312"/>
                <w:color w:val="auto"/>
                <w:kern w:val="0"/>
                <w:sz w:val="28"/>
                <w:szCs w:val="28"/>
                <w:shd w:val="clear" w:color="auto" w:fill="auto"/>
                <w:lang w:val="en-US" w:eastAsia="zh-CN"/>
              </w:rPr>
              <w:t>在学校、医院、商场、党政机关等停车矛盾突出的区域，加强停车设施规划布点，充分利用现有资源加快立体车库和机械停车场选址规划，增设停车泊位数量。在</w:t>
            </w:r>
            <w:r>
              <w:rPr>
                <w:rFonts w:hint="eastAsia" w:ascii="仿宋_GB2312" w:hAnsi="仿宋_GB2312" w:eastAsia="仿宋_GB2312" w:cs="仿宋_GB2312"/>
                <w:color w:val="auto"/>
                <w:sz w:val="28"/>
                <w:szCs w:val="28"/>
                <w:shd w:val="clear" w:color="auto" w:fill="auto"/>
              </w:rPr>
              <w:t>城区闲置</w:t>
            </w:r>
            <w:r>
              <w:rPr>
                <w:rFonts w:hint="eastAsia" w:ascii="仿宋_GB2312" w:hAnsi="仿宋_GB2312" w:eastAsia="仿宋_GB2312" w:cs="仿宋_GB2312"/>
                <w:color w:val="auto"/>
                <w:sz w:val="28"/>
                <w:szCs w:val="28"/>
                <w:shd w:val="clear" w:color="auto" w:fill="auto"/>
                <w:lang w:val="en-US" w:eastAsia="zh-CN"/>
              </w:rPr>
              <w:t>国有储备</w:t>
            </w:r>
            <w:r>
              <w:rPr>
                <w:rFonts w:hint="eastAsia" w:ascii="仿宋_GB2312" w:hAnsi="仿宋_GB2312" w:eastAsia="仿宋_GB2312" w:cs="仿宋_GB2312"/>
                <w:color w:val="auto"/>
                <w:sz w:val="28"/>
                <w:szCs w:val="28"/>
                <w:shd w:val="clear" w:color="auto" w:fill="auto"/>
              </w:rPr>
              <w:t>土地上新增停车泊位</w:t>
            </w:r>
            <w:r>
              <w:rPr>
                <w:rFonts w:hint="eastAsia" w:ascii="仿宋_GB2312" w:hAnsi="仿宋_GB2312" w:eastAsia="仿宋_GB2312" w:cs="仿宋_GB2312"/>
                <w:color w:val="auto"/>
                <w:sz w:val="28"/>
                <w:szCs w:val="28"/>
                <w:shd w:val="clear" w:color="auto" w:fill="auto"/>
                <w:lang w:eastAsia="zh-CN"/>
              </w:rPr>
              <w:t>，</w:t>
            </w:r>
            <w:r>
              <w:rPr>
                <w:rFonts w:hint="eastAsia" w:ascii="仿宋_GB2312" w:hAnsi="仿宋_GB2312" w:eastAsia="仿宋_GB2312" w:cs="仿宋_GB2312"/>
                <w:color w:val="auto"/>
                <w:sz w:val="28"/>
                <w:szCs w:val="28"/>
                <w:shd w:val="clear" w:color="auto" w:fill="auto"/>
                <w:lang w:val="en-US" w:eastAsia="zh-CN"/>
              </w:rPr>
              <w:t>并</w:t>
            </w:r>
            <w:r>
              <w:rPr>
                <w:rFonts w:hint="eastAsia" w:ascii="仿宋_GB2312" w:hAnsi="仿宋_GB2312" w:eastAsia="仿宋_GB2312" w:cs="仿宋_GB2312"/>
                <w:color w:val="auto"/>
                <w:sz w:val="28"/>
                <w:szCs w:val="28"/>
                <w:shd w:val="clear" w:color="auto" w:fill="auto"/>
              </w:rPr>
              <w:t>面向社会停放车辆。</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300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200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kern w:val="0"/>
                <w:sz w:val="28"/>
                <w:szCs w:val="28"/>
                <w:shd w:val="clear" w:color="auto" w:fill="auto"/>
                <w:lang w:val="en-US" w:eastAsia="zh-CN"/>
              </w:rPr>
              <w:t>2</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市住</w:t>
            </w:r>
          </w:p>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建局</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left"/>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新建城市公共基础设施大力配建公共停车场。对城区小区配套停车场只卖不租、租价过高等问题进行集中整治，实行租售并举，着力解决小区周边和业主停车难问题。推动小区配套停车位面向社会开放，实行有偿使用、错时共享，有效缓解小区周边停车难。对广场、部分小区、商住楼、商业楼等地下规划为人防工程改作他用的进行恢复，进一步发挥人防工程在非战时期的社会效益、经济效益，在不影响国土防空及战时保障情况下，利用部分地下人防工程新增停车泊位。在</w:t>
            </w:r>
            <w:r>
              <w:rPr>
                <w:rFonts w:hint="eastAsia" w:ascii="仿宋_GB2312" w:hAnsi="仿宋_GB2312" w:eastAsia="仿宋_GB2312" w:cs="仿宋_GB2312"/>
                <w:color w:val="auto"/>
                <w:sz w:val="28"/>
                <w:szCs w:val="28"/>
                <w:shd w:val="clear" w:color="auto" w:fill="auto"/>
              </w:rPr>
              <w:t>城区</w:t>
            </w:r>
            <w:r>
              <w:rPr>
                <w:rFonts w:hint="eastAsia" w:ascii="仿宋_GB2312" w:hAnsi="仿宋_GB2312" w:eastAsia="仿宋_GB2312" w:cs="仿宋_GB2312"/>
                <w:color w:val="auto"/>
                <w:kern w:val="0"/>
                <w:sz w:val="28"/>
                <w:szCs w:val="28"/>
                <w:shd w:val="clear" w:color="auto" w:fill="auto"/>
                <w:lang w:val="en-US" w:eastAsia="zh-CN"/>
              </w:rPr>
              <w:t>商业集中区、居民区和学校周边</w:t>
            </w:r>
            <w:r>
              <w:rPr>
                <w:rFonts w:hint="eastAsia" w:ascii="仿宋_GB2312" w:hAnsi="仿宋_GB2312" w:eastAsia="仿宋_GB2312" w:cs="仿宋_GB2312"/>
                <w:color w:val="auto"/>
                <w:sz w:val="28"/>
                <w:szCs w:val="28"/>
                <w:shd w:val="clear" w:color="auto" w:fill="auto"/>
              </w:rPr>
              <w:t>已征收土地上</w:t>
            </w:r>
            <w:r>
              <w:rPr>
                <w:rFonts w:hint="eastAsia" w:ascii="仿宋_GB2312" w:hAnsi="仿宋_GB2312" w:eastAsia="仿宋_GB2312" w:cs="仿宋_GB2312"/>
                <w:color w:val="auto"/>
                <w:sz w:val="28"/>
                <w:szCs w:val="28"/>
                <w:shd w:val="clear" w:color="auto" w:fill="auto"/>
                <w:lang w:val="en-US" w:eastAsia="zh-CN"/>
              </w:rPr>
              <w:t>临时建设</w:t>
            </w:r>
            <w:r>
              <w:rPr>
                <w:rFonts w:hint="eastAsia" w:ascii="仿宋_GB2312" w:hAnsi="仿宋_GB2312" w:eastAsia="仿宋_GB2312" w:cs="仿宋_GB2312"/>
                <w:color w:val="auto"/>
                <w:sz w:val="28"/>
                <w:szCs w:val="28"/>
                <w:shd w:val="clear" w:color="auto" w:fill="auto"/>
              </w:rPr>
              <w:t>停车泊位，</w:t>
            </w:r>
            <w:r>
              <w:rPr>
                <w:rFonts w:hint="eastAsia" w:ascii="仿宋_GB2312" w:hAnsi="仿宋_GB2312" w:eastAsia="仿宋_GB2312" w:cs="仿宋_GB2312"/>
                <w:color w:val="auto"/>
                <w:sz w:val="28"/>
                <w:szCs w:val="28"/>
                <w:shd w:val="clear" w:color="auto" w:fill="auto"/>
                <w:lang w:val="en-US" w:eastAsia="zh-CN"/>
              </w:rPr>
              <w:t>并</w:t>
            </w:r>
            <w:r>
              <w:rPr>
                <w:rFonts w:hint="eastAsia" w:ascii="仿宋_GB2312" w:hAnsi="仿宋_GB2312" w:eastAsia="仿宋_GB2312" w:cs="仿宋_GB2312"/>
                <w:color w:val="auto"/>
                <w:sz w:val="28"/>
                <w:szCs w:val="28"/>
                <w:shd w:val="clear" w:color="auto" w:fill="auto"/>
              </w:rPr>
              <w:t>面向社会停放车辆。</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2400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1500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kern w:val="0"/>
                <w:sz w:val="28"/>
                <w:szCs w:val="28"/>
                <w:shd w:val="clear" w:color="auto" w:fill="auto"/>
                <w:lang w:val="en-US" w:eastAsia="zh-CN"/>
              </w:rPr>
              <w:t>3</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市城管执法局</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left"/>
              <w:textAlignment w:val="auto"/>
              <w:outlineLvl w:val="9"/>
              <w:rPr>
                <w:rFonts w:hint="eastAsia" w:ascii="仿宋_GB2312" w:hAnsi="仿宋_GB2312" w:eastAsia="仿宋_GB2312" w:cs="仿宋_GB2312"/>
                <w:color w:val="auto"/>
                <w:kern w:val="2"/>
                <w:sz w:val="28"/>
                <w:szCs w:val="28"/>
                <w:shd w:val="clear" w:color="auto" w:fill="auto"/>
                <w:lang w:val="en-US" w:eastAsia="zh-CN" w:bidi="ar-SA"/>
              </w:rPr>
            </w:pPr>
            <w:r>
              <w:rPr>
                <w:rFonts w:hint="eastAsia" w:ascii="仿宋_GB2312" w:hAnsi="仿宋_GB2312" w:eastAsia="仿宋_GB2312" w:cs="仿宋_GB2312"/>
                <w:color w:val="auto"/>
                <w:kern w:val="0"/>
                <w:sz w:val="28"/>
                <w:szCs w:val="28"/>
                <w:shd w:val="clear" w:color="auto" w:fill="auto"/>
                <w:lang w:val="en-US" w:eastAsia="zh-CN"/>
              </w:rPr>
              <w:t>挖掘利用政府公共资源，在人行道、零星闲置地块等公共区域增设停车泊位。对规划停车场挪作他用现象加大排查整治，恢复原规划用途，增加停车泊位。利用拆迁征收空地积极推进停车楼、机械立体停车库等集约化停车设施建设。</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2000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1500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rPr>
            </w:pPr>
            <w:r>
              <w:rPr>
                <w:rFonts w:hint="eastAsia" w:ascii="仿宋_GB2312" w:hAnsi="仿宋_GB2312" w:eastAsia="仿宋_GB2312" w:cs="仿宋_GB2312"/>
                <w:color w:val="auto"/>
                <w:kern w:val="0"/>
                <w:sz w:val="28"/>
                <w:szCs w:val="28"/>
                <w:shd w:val="clear" w:color="auto" w:fill="auto"/>
                <w:lang w:val="en-US" w:eastAsia="zh-CN"/>
              </w:rPr>
              <w:t>4</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市市场监管局</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left"/>
              <w:textAlignment w:val="auto"/>
              <w:outlineLvl w:val="9"/>
              <w:rPr>
                <w:rFonts w:hint="eastAsia" w:ascii="仿宋_GB2312" w:hAnsi="仿宋_GB2312" w:eastAsia="仿宋_GB2312" w:cs="仿宋_GB2312"/>
                <w:color w:val="auto"/>
                <w:kern w:val="2"/>
                <w:sz w:val="28"/>
                <w:szCs w:val="28"/>
                <w:shd w:val="clear" w:color="auto" w:fill="auto"/>
                <w:lang w:val="en-US" w:eastAsia="zh-CN" w:bidi="ar-SA"/>
              </w:rPr>
            </w:pPr>
            <w:r>
              <w:rPr>
                <w:rFonts w:hint="eastAsia" w:ascii="仿宋_GB2312" w:hAnsi="仿宋_GB2312" w:eastAsia="仿宋_GB2312" w:cs="仿宋_GB2312"/>
                <w:color w:val="auto"/>
                <w:kern w:val="0"/>
                <w:sz w:val="28"/>
                <w:szCs w:val="28"/>
                <w:shd w:val="clear" w:color="auto" w:fill="auto"/>
                <w:lang w:val="en-US" w:eastAsia="zh-CN"/>
              </w:rPr>
              <w:t>充分利用地上地下空间，引导商场、酒店、农贸市场等企业利用现有资源新建、改建、扩建停车设施，满足市民消费停车需求。</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5</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市卫</w:t>
            </w:r>
          </w:p>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健局</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left"/>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加强对城区医院停车泊位建设指导，利用空间资源增设停车泊位，将医院职工停车需求向周边空余停车设施疏解，将医院车位提供给就诊车辆。</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200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6</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市公安局交管大队</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left"/>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挖掘现有资源增加停车泊位。因地制宜，规范有序地在符合条件的车行道增设潮汐停车泊位，对已施划停车泊位的路段可视具体情况重新进行施划。</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400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200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7</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滨河新区街道</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left"/>
              <w:textAlignment w:val="auto"/>
              <w:outlineLvl w:val="9"/>
              <w:rPr>
                <w:rFonts w:hint="default"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在辖区规划区内的商业集中区、居民区和学校周边村集体闲置土地上新增停车位，并面向社会停放车辆。</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200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200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8</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麟州</w:t>
            </w:r>
          </w:p>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街道</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left"/>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在辖区规划区内的商业集中区、居民区和学校周边村集体闲置土地上新增停车位，并面向社会停放车辆。</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9</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迎宾路街道</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left"/>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在辖区规划区内的商业集中区、居民区和学校周边村集体闲置土地上新增停车位，并面向社会停放车辆。</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10</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西沙</w:t>
            </w:r>
          </w:p>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街道</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left"/>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在西沙社区和铧西社区居民区和学校周边集体闲置土地上新增停车位，并面向社会停放车辆。</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11</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西沟</w:t>
            </w:r>
          </w:p>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街道</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left"/>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在丰家塔社区居民区和学校及幼儿园周边集体闲置土地上新增停车位，并面向社会停放车辆。</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657"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12</w:t>
            </w:r>
          </w:p>
        </w:tc>
        <w:tc>
          <w:tcPr>
            <w:tcW w:w="101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市城投集团</w:t>
            </w:r>
          </w:p>
        </w:tc>
        <w:tc>
          <w:tcPr>
            <w:tcW w:w="4360"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left"/>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在规划区内新建项目或通过租购等方式新增停车位，利用新建智能化系统提升停车周转率、使用率，并面向社会停放车辆。</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2600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1500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jc w:val="center"/>
        </w:trPr>
        <w:tc>
          <w:tcPr>
            <w:tcW w:w="6027" w:type="dxa"/>
            <w:gridSpan w:val="3"/>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8"/>
                <w:szCs w:val="28"/>
                <w:shd w:val="clear" w:color="auto" w:fill="auto"/>
                <w:lang w:val="en-US" w:eastAsia="zh-CN"/>
              </w:rPr>
            </w:pPr>
            <w:r>
              <w:rPr>
                <w:rFonts w:hint="eastAsia" w:ascii="仿宋_GB2312" w:hAnsi="仿宋_GB2312" w:eastAsia="仿宋_GB2312" w:cs="仿宋_GB2312"/>
                <w:b w:val="0"/>
                <w:bCs w:val="0"/>
                <w:color w:val="auto"/>
                <w:kern w:val="0"/>
                <w:sz w:val="28"/>
                <w:szCs w:val="28"/>
                <w:shd w:val="clear" w:color="auto" w:fill="auto"/>
                <w:lang w:val="en-US" w:eastAsia="zh-CN"/>
              </w:rPr>
              <w:t>小计</w:t>
            </w:r>
          </w:p>
        </w:tc>
        <w:tc>
          <w:tcPr>
            <w:tcW w:w="1235"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8600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5700</w:t>
            </w:r>
          </w:p>
        </w:tc>
        <w:tc>
          <w:tcPr>
            <w:tcW w:w="1216" w:type="dxa"/>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sz w:val="28"/>
                <w:szCs w:val="28"/>
                <w:shd w:val="clear" w:color="auto" w:fill="auto"/>
                <w:lang w:val="en-US" w:eastAsia="zh-CN"/>
              </w:rP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jc w:val="center"/>
        </w:trPr>
        <w:tc>
          <w:tcPr>
            <w:tcW w:w="6027" w:type="dxa"/>
            <w:gridSpan w:val="3"/>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b/>
                <w:bCs/>
                <w:color w:val="auto"/>
                <w:kern w:val="0"/>
                <w:sz w:val="28"/>
                <w:szCs w:val="28"/>
                <w:shd w:val="clear" w:color="auto" w:fill="auto"/>
                <w:lang w:val="en-US" w:eastAsia="zh-CN"/>
              </w:rPr>
            </w:pPr>
            <w:r>
              <w:rPr>
                <w:rFonts w:hint="eastAsia" w:ascii="仿宋_GB2312" w:hAnsi="仿宋_GB2312" w:eastAsia="仿宋_GB2312" w:cs="仿宋_GB2312"/>
                <w:b/>
                <w:bCs/>
                <w:color w:val="auto"/>
                <w:kern w:val="0"/>
                <w:sz w:val="28"/>
                <w:szCs w:val="28"/>
                <w:shd w:val="clear" w:color="auto" w:fill="auto"/>
                <w:lang w:val="en-US" w:eastAsia="zh-CN"/>
              </w:rPr>
              <w:t>合计</w:t>
            </w:r>
          </w:p>
        </w:tc>
        <w:tc>
          <w:tcPr>
            <w:tcW w:w="3667" w:type="dxa"/>
            <w:gridSpan w:val="3"/>
            <w:tcBorders>
              <w:tl2br w:val="nil"/>
              <w:tr2bl w:val="nil"/>
            </w:tcBorders>
            <w:tcMar>
              <w:left w:w="0" w:type="dxa"/>
            </w:tcMar>
            <w:vAlign w:val="center"/>
          </w:tcPr>
          <w:p>
            <w:pPr>
              <w:widowControl w:val="0"/>
              <w:pBdr>
                <w:top w:val="none" w:color="auto" w:sz="0" w:space="0"/>
                <w:left w:val="none" w:color="auto" w:sz="0" w:space="0"/>
                <w:bottom w:val="none" w:color="auto" w:sz="0" w:space="0"/>
                <w:right w:val="none" w:color="auto" w:sz="0" w:space="0"/>
              </w:pBdr>
              <w:shd w:val="clear" w:color="auto" w:fill="auto"/>
              <w:wordWrap/>
              <w:adjustRightInd/>
              <w:snapToGrid/>
              <w:spacing w:beforeAutospacing="0" w:afterAutospacing="0" w:line="340" w:lineRule="exact"/>
              <w:ind w:left="0" w:leftChars="0" w:right="0" w:firstLine="0" w:firstLineChars="0"/>
              <w:jc w:val="center"/>
              <w:textAlignment w:val="auto"/>
              <w:outlineLvl w:val="9"/>
              <w:rPr>
                <w:rFonts w:hint="default" w:ascii="仿宋_GB2312" w:hAnsi="仿宋_GB2312" w:eastAsia="仿宋_GB2312" w:cs="仿宋_GB2312"/>
                <w:b/>
                <w:bCs/>
                <w:color w:val="auto"/>
                <w:kern w:val="0"/>
                <w:sz w:val="28"/>
                <w:szCs w:val="28"/>
                <w:shd w:val="clear" w:color="auto" w:fill="auto"/>
                <w:lang w:val="en-US" w:eastAsia="zh-CN"/>
              </w:rPr>
            </w:pPr>
            <w:r>
              <w:rPr>
                <w:rFonts w:hint="eastAsia" w:ascii="仿宋_GB2312" w:hAnsi="仿宋_GB2312" w:eastAsia="仿宋_GB2312" w:cs="仿宋_GB2312"/>
                <w:b/>
                <w:bCs/>
                <w:color w:val="auto"/>
                <w:kern w:val="0"/>
                <w:sz w:val="28"/>
                <w:szCs w:val="28"/>
                <w:shd w:val="clear" w:color="auto" w:fill="auto"/>
                <w:lang w:val="en-US" w:eastAsia="zh-CN"/>
              </w:rPr>
              <w:t>20000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AC4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2022-02-22T01:49:22Z</dcterms:created>
  <dc:creator>60500</dc:creator>
  <cp:lastModifiedBy>௸༣ྀ࿆枫 ༊</cp:lastModifiedBy>
  <dcterms:modified xsi:type="dcterms:W3CDTF">2022-02-22T01:49:33Z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E1BB7D8427E24C7B9B6CB460E84BB483</vt:lpwstr>
  </property>
</Properties>
</file>